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527E97">
      <w:pPr>
        <w:jc w:val="center"/>
        <w:rPr>
          <w:b/>
          <w:sz w:val="28"/>
          <w:szCs w:val="28"/>
        </w:rPr>
      </w:pPr>
      <w:bookmarkStart w:id="0" w:name="_GoBack"/>
      <w:bookmarkEnd w:id="0"/>
      <w:r>
        <w:rPr>
          <w:sz w:val="28"/>
          <w:szCs w:val="28"/>
        </w:rPr>
        <w:t>«</w:t>
      </w:r>
      <w:r>
        <w:rPr>
          <w:b/>
          <w:bCs/>
          <w:u w:val="single"/>
        </w:rPr>
        <w:t>Азбука потребителя: права потребителей при заключении договора платных образовательных услуг</w:t>
      </w:r>
    </w:p>
    <w:p w14:paraId="39DD18F7">
      <w:pPr>
        <w:ind w:firstLine="709"/>
        <w:jc w:val="both"/>
        <w:rPr>
          <w:bCs/>
          <w:sz w:val="26"/>
          <w:szCs w:val="26"/>
        </w:rPr>
      </w:pPr>
      <w:r>
        <w:rPr>
          <w:bCs/>
          <w:sz w:val="26"/>
          <w:szCs w:val="26"/>
        </w:rPr>
        <w:t xml:space="preserve">В связи с тем, что платные образовательные услуги в настоящее время пользуются большим спросом, на потребительском рынке присутствует многообразие образовательных организаций, реализующих различные образовательные программы на платной основе. Однако, обращения граждан с жалобами на нарушения их прав при предоставлении платных образовательных услуг свидетельствуют о том, что не все образовательные организации добросовестно осуществляют свою деятельность. Чтобы избежать нарушений в указанной сфере деятельности потребителю необходимо знать некоторые понятия и особенности пользования платными образовательными услугами. </w:t>
      </w:r>
    </w:p>
    <w:p w14:paraId="603FC443">
      <w:pPr>
        <w:ind w:firstLine="709"/>
        <w:jc w:val="both"/>
        <w:rPr>
          <w:bCs/>
          <w:sz w:val="26"/>
          <w:szCs w:val="26"/>
        </w:rPr>
      </w:pPr>
      <w:r>
        <w:rPr>
          <w:bCs/>
          <w:sz w:val="26"/>
          <w:szCs w:val="26"/>
        </w:rPr>
        <w:t xml:space="preserve">Участниками отношений в сфере предоставления платных образовательных услуг являются: </w:t>
      </w:r>
    </w:p>
    <w:p w14:paraId="019F4C61">
      <w:pPr>
        <w:ind w:firstLine="709"/>
        <w:jc w:val="both"/>
        <w:rPr>
          <w:bCs/>
          <w:sz w:val="26"/>
          <w:szCs w:val="26"/>
        </w:rPr>
      </w:pPr>
      <w:r>
        <w:rPr>
          <w:bCs/>
          <w:sz w:val="26"/>
          <w:szCs w:val="26"/>
        </w:rPr>
        <w:t>- потребитель — гражданин, имеющий намерение заказать или приобрести либо заказывающий, приобретающий или использующий услуги исключительно для личных, семейных, домашних и иных нужд, не связанных с осуществлением предпринимательской деятельности;</w:t>
      </w:r>
    </w:p>
    <w:p w14:paraId="5826D5AC">
      <w:pPr>
        <w:ind w:firstLine="709"/>
        <w:jc w:val="both"/>
        <w:rPr>
          <w:bCs/>
          <w:sz w:val="26"/>
          <w:szCs w:val="26"/>
        </w:rPr>
      </w:pPr>
      <w:r>
        <w:rPr>
          <w:bCs/>
          <w:sz w:val="26"/>
          <w:szCs w:val="26"/>
        </w:rPr>
        <w:t>- исполнитель — организация, осуществляющая образовательную деятельность и предоставляющая платные образовательные услуги обучающемуся (физическое лицо, осваивающее образовательную программу).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14:paraId="322195F0">
      <w:pPr>
        <w:ind w:firstLine="709"/>
        <w:jc w:val="both"/>
        <w:rPr>
          <w:bCs/>
          <w:sz w:val="26"/>
          <w:szCs w:val="26"/>
        </w:rPr>
      </w:pPr>
      <w:r>
        <w:rPr>
          <w:bCs/>
          <w:sz w:val="26"/>
          <w:szCs w:val="26"/>
        </w:rPr>
        <w:t>Отношения между исполнителем и заказчиком при оказании платных образовательных услуг регулируются Законом Российской Федерации от 07.02.1992 №2300-1 «О защите прав потребителей», Федеральным законом «Об образовании в Российской Федерации» от 29.12.2012 № 273-ФЗ, «Правилами оказания платных образовательных услуг», утверждёнными Постановлением Правительства РФ от 15.09.2020 № 1441.</w:t>
      </w:r>
    </w:p>
    <w:p w14:paraId="18D71322">
      <w:pPr>
        <w:ind w:firstLine="709"/>
        <w:jc w:val="both"/>
        <w:rPr>
          <w:bCs/>
          <w:sz w:val="26"/>
          <w:szCs w:val="26"/>
        </w:rPr>
      </w:pPr>
      <w:r>
        <w:rPr>
          <w:bCs/>
          <w:sz w:val="26"/>
          <w:szCs w:val="26"/>
        </w:rPr>
        <w:t>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7CF6B83A">
      <w:pPr>
        <w:ind w:firstLine="709"/>
        <w:jc w:val="both"/>
        <w:rPr>
          <w:bCs/>
          <w:sz w:val="26"/>
          <w:szCs w:val="26"/>
        </w:rPr>
      </w:pPr>
      <w:r>
        <w:rPr>
          <w:bCs/>
          <w:sz w:val="26"/>
          <w:szCs w:val="26"/>
        </w:rPr>
        <w:t>Договор заключается в простой письменной форме и содержит следующие сведения:</w:t>
      </w:r>
    </w:p>
    <w:p w14:paraId="4685FE80">
      <w:pPr>
        <w:ind w:firstLine="709"/>
        <w:jc w:val="both"/>
        <w:rPr>
          <w:bCs/>
          <w:sz w:val="26"/>
          <w:szCs w:val="26"/>
        </w:rPr>
      </w:pPr>
      <w:r>
        <w:rPr>
          <w:bCs/>
          <w:sz w:val="26"/>
          <w:szCs w:val="26"/>
        </w:rPr>
        <w:t>полное наименование и фирменное наименование (при наличии) исполнителя– юридического лица;</w:t>
      </w:r>
    </w:p>
    <w:p w14:paraId="4FAA8832">
      <w:pPr>
        <w:ind w:firstLine="709"/>
        <w:jc w:val="both"/>
        <w:rPr>
          <w:bCs/>
          <w:sz w:val="26"/>
          <w:szCs w:val="26"/>
        </w:rPr>
      </w:pPr>
      <w:r>
        <w:rPr>
          <w:bCs/>
          <w:sz w:val="26"/>
          <w:szCs w:val="26"/>
        </w:rPr>
        <w:t>а) место нахождения или место жительства исполнителя;</w:t>
      </w:r>
    </w:p>
    <w:p w14:paraId="1F368A16">
      <w:pPr>
        <w:ind w:firstLine="709"/>
        <w:jc w:val="both"/>
        <w:rPr>
          <w:bCs/>
          <w:sz w:val="26"/>
          <w:szCs w:val="26"/>
        </w:rPr>
      </w:pPr>
      <w:r>
        <w:rPr>
          <w:bCs/>
          <w:sz w:val="26"/>
          <w:szCs w:val="26"/>
        </w:rPr>
        <w:t>б) наименование или фамилия, имя, отчество (при наличии) заказчика, телефон (при наличии) заказчика и (или) законного представителя обучающегося;</w:t>
      </w:r>
    </w:p>
    <w:p w14:paraId="1F9AFE8A">
      <w:pPr>
        <w:ind w:firstLine="709"/>
        <w:jc w:val="both"/>
        <w:rPr>
          <w:bCs/>
          <w:sz w:val="26"/>
          <w:szCs w:val="26"/>
        </w:rPr>
      </w:pPr>
      <w:r>
        <w:rPr>
          <w:bCs/>
          <w:sz w:val="26"/>
          <w:szCs w:val="26"/>
        </w:rPr>
        <w:t>в) место нахождения или место жительства заказчика и (или) законного представителя обучающегося;</w:t>
      </w:r>
    </w:p>
    <w:p w14:paraId="6213DD1F">
      <w:pPr>
        <w:ind w:firstLine="709"/>
        <w:jc w:val="both"/>
        <w:rPr>
          <w:bCs/>
          <w:sz w:val="26"/>
          <w:szCs w:val="26"/>
        </w:rPr>
      </w:pPr>
      <w:r>
        <w:rPr>
          <w:bCs/>
          <w:sz w:val="26"/>
          <w:szCs w:val="26"/>
        </w:rPr>
        <w:t>г)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14:paraId="69BA8989">
      <w:pPr>
        <w:ind w:firstLine="709"/>
        <w:jc w:val="both"/>
        <w:rPr>
          <w:bCs/>
          <w:sz w:val="26"/>
          <w:szCs w:val="26"/>
        </w:rPr>
      </w:pPr>
      <w:r>
        <w:rPr>
          <w:bCs/>
          <w:sz w:val="26"/>
          <w:szCs w:val="26"/>
        </w:rPr>
        <w:t>д) 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14:paraId="40C96B05">
      <w:pPr>
        <w:ind w:firstLine="709"/>
        <w:jc w:val="both"/>
        <w:rPr>
          <w:bCs/>
          <w:sz w:val="26"/>
          <w:szCs w:val="26"/>
        </w:rPr>
      </w:pPr>
      <w:r>
        <w:rPr>
          <w:bCs/>
          <w:sz w:val="26"/>
          <w:szCs w:val="26"/>
        </w:rPr>
        <w:t>е) права, обязанности и ответственность исполнителя, заказчика и обучающегося;</w:t>
      </w:r>
    </w:p>
    <w:p w14:paraId="1BC19BA9">
      <w:pPr>
        <w:ind w:firstLine="709"/>
        <w:jc w:val="both"/>
        <w:rPr>
          <w:bCs/>
          <w:sz w:val="26"/>
          <w:szCs w:val="26"/>
        </w:rPr>
      </w:pPr>
      <w:r>
        <w:rPr>
          <w:bCs/>
          <w:sz w:val="26"/>
          <w:szCs w:val="26"/>
        </w:rPr>
        <w:t>ё) полная стоимость образовательных услуг по договору, порядок их оплаты;</w:t>
      </w:r>
    </w:p>
    <w:p w14:paraId="7C1A2C09">
      <w:pPr>
        <w:ind w:firstLine="709"/>
        <w:jc w:val="both"/>
        <w:rPr>
          <w:bCs/>
          <w:sz w:val="26"/>
          <w:szCs w:val="26"/>
        </w:rPr>
      </w:pPr>
      <w:r>
        <w:rPr>
          <w:bCs/>
          <w:sz w:val="26"/>
          <w:szCs w:val="26"/>
        </w:rPr>
        <w:t>ж)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РФ;</w:t>
      </w:r>
    </w:p>
    <w:p w14:paraId="3073FA8A">
      <w:pPr>
        <w:ind w:firstLine="709"/>
        <w:jc w:val="both"/>
        <w:rPr>
          <w:bCs/>
          <w:sz w:val="26"/>
          <w:szCs w:val="26"/>
        </w:rPr>
      </w:pPr>
      <w:r>
        <w:rPr>
          <w:bCs/>
          <w:sz w:val="26"/>
          <w:szCs w:val="26"/>
        </w:rPr>
        <w:t>з) вид, уровень и (или) направленность образовательной программы (часть образовательной программы определенных уровня, вида и (или) направленности);</w:t>
      </w:r>
    </w:p>
    <w:p w14:paraId="05343349">
      <w:pPr>
        <w:ind w:firstLine="709"/>
        <w:jc w:val="both"/>
        <w:rPr>
          <w:bCs/>
          <w:sz w:val="26"/>
          <w:szCs w:val="26"/>
        </w:rPr>
      </w:pPr>
      <w:r>
        <w:rPr>
          <w:bCs/>
          <w:sz w:val="26"/>
          <w:szCs w:val="26"/>
        </w:rPr>
        <w:t>и) форма обучения;</w:t>
      </w:r>
    </w:p>
    <w:p w14:paraId="08C0674A">
      <w:pPr>
        <w:ind w:firstLine="709"/>
        <w:jc w:val="both"/>
        <w:rPr>
          <w:bCs/>
          <w:sz w:val="26"/>
          <w:szCs w:val="26"/>
        </w:rPr>
      </w:pPr>
      <w:r>
        <w:rPr>
          <w:bCs/>
          <w:sz w:val="26"/>
          <w:szCs w:val="26"/>
        </w:rPr>
        <w:t>й) сроки освоения образовательной программы или части образовательной программы по договору (продолжительность обучения по договору);</w:t>
      </w:r>
    </w:p>
    <w:p w14:paraId="4BAE6ACD">
      <w:pPr>
        <w:ind w:firstLine="709"/>
        <w:jc w:val="both"/>
        <w:rPr>
          <w:bCs/>
          <w:sz w:val="26"/>
          <w:szCs w:val="26"/>
        </w:rPr>
      </w:pPr>
      <w:r>
        <w:rPr>
          <w:bCs/>
          <w:sz w:val="26"/>
          <w:szCs w:val="26"/>
        </w:rPr>
        <w:t>к)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14:paraId="05FE6C5E">
      <w:pPr>
        <w:ind w:firstLine="709"/>
        <w:jc w:val="both"/>
        <w:rPr>
          <w:bCs/>
          <w:sz w:val="26"/>
          <w:szCs w:val="26"/>
        </w:rPr>
      </w:pPr>
      <w:r>
        <w:rPr>
          <w:bCs/>
          <w:sz w:val="26"/>
          <w:szCs w:val="26"/>
        </w:rPr>
        <w:t>л) порядок изменения и расторжения договора;</w:t>
      </w:r>
    </w:p>
    <w:p w14:paraId="28618CC3">
      <w:pPr>
        <w:ind w:firstLine="709"/>
        <w:jc w:val="both"/>
        <w:rPr>
          <w:bCs/>
          <w:sz w:val="26"/>
          <w:szCs w:val="26"/>
        </w:rPr>
      </w:pPr>
      <w:r>
        <w:rPr>
          <w:bCs/>
          <w:sz w:val="26"/>
          <w:szCs w:val="26"/>
        </w:rPr>
        <w:t>м) другие необходимые сведения, связанные со спецификой оказываемых платных образовательных услуг.</w:t>
      </w:r>
    </w:p>
    <w:p w14:paraId="27862E45">
      <w:pPr>
        <w:ind w:firstLine="709"/>
        <w:jc w:val="both"/>
        <w:rPr>
          <w:bCs/>
          <w:sz w:val="26"/>
          <w:szCs w:val="26"/>
        </w:rPr>
      </w:pPr>
      <w:r>
        <w:rPr>
          <w:bCs/>
          <w:sz w:val="26"/>
          <w:szCs w:val="26"/>
        </w:rPr>
        <w:t>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w:t>
      </w:r>
    </w:p>
    <w:p w14:paraId="21B6E4EA">
      <w:pPr>
        <w:ind w:firstLine="709"/>
        <w:jc w:val="both"/>
        <w:rPr>
          <w:bCs/>
          <w:sz w:val="26"/>
          <w:szCs w:val="26"/>
        </w:rPr>
      </w:pPr>
      <w:r>
        <w:rPr>
          <w:bCs/>
          <w:sz w:val="26"/>
          <w:szCs w:val="26"/>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3EE4830A">
      <w:pPr>
        <w:ind w:firstLine="709"/>
        <w:jc w:val="both"/>
        <w:rPr>
          <w:bCs/>
          <w:sz w:val="26"/>
          <w:szCs w:val="26"/>
        </w:rPr>
      </w:pPr>
      <w:r>
        <w:rPr>
          <w:bCs/>
          <w:sz w:val="26"/>
          <w:szCs w:val="26"/>
        </w:rPr>
        <w:t>По инициативе исполнителя договор может быть расторгнут в одностороннем порядке в следующем случае:</w:t>
      </w:r>
    </w:p>
    <w:p w14:paraId="3910144F">
      <w:pPr>
        <w:ind w:firstLine="709"/>
        <w:jc w:val="both"/>
        <w:rPr>
          <w:bCs/>
          <w:sz w:val="26"/>
          <w:szCs w:val="26"/>
        </w:rPr>
      </w:pPr>
      <w:r>
        <w:rPr>
          <w:bCs/>
          <w:sz w:val="26"/>
          <w:szCs w:val="26"/>
        </w:rPr>
        <w:t>а) применение к обучающемуся, достигшему возраста 15 лет, отчисления как меры дисциплинарного взыскания;</w:t>
      </w:r>
    </w:p>
    <w:p w14:paraId="0CB642D2">
      <w:pPr>
        <w:ind w:firstLine="709"/>
        <w:jc w:val="both"/>
        <w:rPr>
          <w:bCs/>
          <w:sz w:val="26"/>
          <w:szCs w:val="26"/>
        </w:rPr>
      </w:pPr>
      <w:r>
        <w:rPr>
          <w:bCs/>
          <w:sz w:val="26"/>
          <w:szCs w:val="26"/>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14:paraId="6E1ABABD">
      <w:pPr>
        <w:ind w:firstLine="709"/>
        <w:jc w:val="both"/>
        <w:rPr>
          <w:bCs/>
          <w:sz w:val="26"/>
          <w:szCs w:val="26"/>
        </w:rPr>
      </w:pPr>
      <w:r>
        <w:rPr>
          <w:bCs/>
          <w:sz w:val="26"/>
          <w:szCs w:val="26"/>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14:paraId="539B5FB2">
      <w:pPr>
        <w:ind w:firstLine="709"/>
        <w:jc w:val="both"/>
        <w:rPr>
          <w:bCs/>
          <w:sz w:val="26"/>
          <w:szCs w:val="26"/>
        </w:rPr>
      </w:pPr>
      <w:r>
        <w:rPr>
          <w:bCs/>
          <w:sz w:val="26"/>
          <w:szCs w:val="26"/>
        </w:rPr>
        <w:t>г) просрочка оплаты стоимости платных образовательных услуг;</w:t>
      </w:r>
    </w:p>
    <w:p w14:paraId="47E06079">
      <w:pPr>
        <w:ind w:firstLine="709"/>
        <w:jc w:val="both"/>
        <w:rPr>
          <w:bCs/>
          <w:sz w:val="26"/>
          <w:szCs w:val="26"/>
        </w:rPr>
      </w:pPr>
      <w:r>
        <w:rPr>
          <w:bCs/>
          <w:sz w:val="26"/>
          <w:szCs w:val="26"/>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14:paraId="6DD4189C">
      <w:pPr>
        <w:ind w:firstLine="709"/>
        <w:jc w:val="both"/>
        <w:rPr>
          <w:bCs/>
          <w:sz w:val="26"/>
          <w:szCs w:val="26"/>
        </w:rPr>
      </w:pPr>
      <w:r>
        <w:rPr>
          <w:bCs/>
          <w:sz w:val="26"/>
          <w:szCs w:val="26"/>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14:paraId="3C108F92">
      <w:pPr>
        <w:ind w:firstLine="709"/>
        <w:jc w:val="both"/>
        <w:rPr>
          <w:sz w:val="26"/>
          <w:szCs w:val="26"/>
        </w:rPr>
      </w:pPr>
      <w:r>
        <w:rPr>
          <w:sz w:val="26"/>
          <w:szCs w:val="26"/>
        </w:rPr>
        <w:t>Урегулирование гражданско-правовых споров между заказчиком и исполнителем осуществляется в добровольном или судебном порядке.</w:t>
      </w:r>
    </w:p>
    <w:p w14:paraId="3D51368A">
      <w:pPr>
        <w:ind w:firstLine="709"/>
        <w:jc w:val="both"/>
        <w:rPr>
          <w:sz w:val="26"/>
          <w:szCs w:val="26"/>
        </w:rPr>
      </w:pPr>
      <w:r>
        <w:rPr>
          <w:sz w:val="26"/>
          <w:szCs w:val="26"/>
        </w:rPr>
        <w:t xml:space="preserve">Следует знать, что статья 17 </w:t>
      </w:r>
      <w:r>
        <w:rPr>
          <w:bCs/>
          <w:sz w:val="26"/>
          <w:szCs w:val="26"/>
        </w:rPr>
        <w:t xml:space="preserve">Закона Российской Федерации от 07.02.1992 №2300-1 «О защите прав потребителей» </w:t>
      </w:r>
      <w:r>
        <w:rPr>
          <w:sz w:val="26"/>
          <w:szCs w:val="26"/>
        </w:rPr>
        <w:t>предоставляет потребителю право обратиться по своему выбору с иском в суд по месту: нахождения организации, а если ответчиком является индивидуальный предприниматель, - его жительства; жительства или пребывания истца; заключения или исполнения договора.</w:t>
      </w:r>
    </w:p>
    <w:p w14:paraId="1FD85786">
      <w:pPr>
        <w:ind w:firstLine="709"/>
        <w:jc w:val="both"/>
        <w:rPr>
          <w:sz w:val="26"/>
          <w:szCs w:val="26"/>
        </w:rPr>
      </w:pPr>
      <w:r>
        <w:rPr>
          <w:sz w:val="26"/>
          <w:szCs w:val="26"/>
        </w:rPr>
        <w:t>Также потребители освобождаются от уплаты государственной пошлины в соответствии с законодательством РФ о налогах и сборах.</w:t>
      </w:r>
    </w:p>
    <w:p w14:paraId="0216C0E7">
      <w:pPr>
        <w:ind w:firstLine="709"/>
        <w:jc w:val="both"/>
        <w:rPr>
          <w:sz w:val="26"/>
          <w:szCs w:val="26"/>
        </w:rPr>
      </w:pPr>
      <w:r>
        <w:rPr>
          <w:sz w:val="26"/>
          <w:szCs w:val="26"/>
        </w:rPr>
        <w:t>За дополнительными консультациями по вопросам защиты прав потребителей можно обращаться в территориальный отдел Управления Роспотребнадзора по Орловской области в г.Мценске и в Консультационный пункт для потребителей филиала ФБУЗ «Центр гигиены и эпидемиологии в Орловской области в г.Мценске» по адресу: Орловская область, г.Мценск, ул.20-е Июля, д.2г.</w:t>
      </w:r>
    </w:p>
    <w:p w14:paraId="5900F686">
      <w:pPr>
        <w:ind w:firstLine="709"/>
        <w:jc w:val="both"/>
        <w:rPr>
          <w:sz w:val="26"/>
          <w:szCs w:val="26"/>
        </w:rPr>
      </w:pPr>
      <w:r>
        <w:rPr>
          <w:sz w:val="26"/>
          <w:szCs w:val="26"/>
        </w:rPr>
        <w:t>Кроме того, дополнительную информацию граждане могут получить на сайте Роспотребнадзора в государственном информационном ресурсе ГИС ЗПП по адресу: http://zpp.rospotrebnadzor.ru.»</w:t>
      </w:r>
    </w:p>
    <w:p w14:paraId="58E4ECCE">
      <w:pPr>
        <w:ind w:firstLine="720"/>
        <w:jc w:val="both"/>
        <w:rPr>
          <w:sz w:val="28"/>
          <w:szCs w:val="28"/>
        </w:rPr>
      </w:pPr>
      <w:r>
        <w:rPr>
          <w:b/>
          <w:sz w:val="28"/>
          <w:szCs w:val="28"/>
        </w:rPr>
        <w:t>Ведущий специалист-эксперт ТО Управления Роспотребнадзора по Орловской области в г.Мценске Абрамкина Е.С.</w:t>
      </w:r>
    </w:p>
    <w:p w14:paraId="5B493376">
      <w:pPr>
        <w:ind w:firstLine="709"/>
        <w:jc w:val="both"/>
        <w:rPr>
          <w:sz w:val="26"/>
          <w:szCs w:val="26"/>
        </w:rPr>
      </w:pPr>
    </w:p>
    <w:p w14:paraId="3B1596B4">
      <w:pPr>
        <w:ind w:firstLine="709"/>
        <w:jc w:val="both"/>
        <w:rPr>
          <w:sz w:val="26"/>
          <w:szCs w:val="26"/>
        </w:rPr>
      </w:pPr>
    </w:p>
    <w:p w14:paraId="725E0CA3">
      <w:pPr>
        <w:ind w:firstLine="720"/>
        <w:jc w:val="both"/>
        <w:rPr>
          <w:sz w:val="26"/>
          <w:szCs w:val="26"/>
        </w:rPr>
      </w:pPr>
    </w:p>
    <w:p w14:paraId="44DDBAAF">
      <w:pPr>
        <w:jc w:val="both"/>
        <w:rPr>
          <w:b/>
          <w:sz w:val="28"/>
          <w:szCs w:val="28"/>
        </w:rPr>
      </w:pPr>
      <w:r>
        <w:rPr>
          <w:b/>
          <w:sz w:val="28"/>
          <w:szCs w:val="28"/>
        </w:rPr>
        <w:t>Начальник территориального отдела                                                             П.Н.Бесов</w:t>
      </w:r>
    </w:p>
    <w:p w14:paraId="3942BC9B">
      <w:pPr>
        <w:jc w:val="both"/>
        <w:rPr>
          <w:sz w:val="20"/>
          <w:szCs w:val="20"/>
        </w:rPr>
      </w:pPr>
    </w:p>
    <w:p w14:paraId="48A44870">
      <w:pPr>
        <w:jc w:val="both"/>
        <w:rPr>
          <w:sz w:val="20"/>
          <w:szCs w:val="20"/>
        </w:rPr>
      </w:pPr>
    </w:p>
    <w:p w14:paraId="50BB2BB4">
      <w:pPr>
        <w:jc w:val="both"/>
        <w:rPr>
          <w:sz w:val="20"/>
          <w:szCs w:val="20"/>
        </w:rPr>
      </w:pPr>
    </w:p>
    <w:p w14:paraId="1D27AE79">
      <w:pPr>
        <w:jc w:val="both"/>
        <w:rPr>
          <w:sz w:val="20"/>
          <w:szCs w:val="20"/>
        </w:rPr>
      </w:pPr>
    </w:p>
    <w:p w14:paraId="6FEDFF1B">
      <w:pPr>
        <w:jc w:val="both"/>
        <w:rPr>
          <w:sz w:val="20"/>
          <w:szCs w:val="20"/>
        </w:rPr>
      </w:pPr>
    </w:p>
    <w:p w14:paraId="380415F1">
      <w:pPr>
        <w:jc w:val="both"/>
        <w:rPr>
          <w:sz w:val="20"/>
          <w:szCs w:val="20"/>
        </w:rPr>
      </w:pPr>
    </w:p>
    <w:p w14:paraId="38FF3765">
      <w:pPr>
        <w:jc w:val="both"/>
        <w:rPr>
          <w:sz w:val="20"/>
          <w:szCs w:val="20"/>
        </w:rPr>
      </w:pPr>
    </w:p>
    <w:p w14:paraId="19C14E4D">
      <w:pPr>
        <w:jc w:val="both"/>
        <w:rPr>
          <w:sz w:val="20"/>
          <w:szCs w:val="20"/>
        </w:rPr>
      </w:pPr>
      <w:r>
        <w:rPr>
          <w:sz w:val="20"/>
          <w:szCs w:val="20"/>
        </w:rPr>
        <w:t>Исп. Абрамкина Е.С.</w:t>
      </w:r>
    </w:p>
    <w:p w14:paraId="75B3704C">
      <w:pPr>
        <w:jc w:val="both"/>
        <w:rPr>
          <w:sz w:val="28"/>
          <w:szCs w:val="28"/>
        </w:rPr>
      </w:pPr>
      <w:r>
        <w:rPr>
          <w:sz w:val="20"/>
          <w:szCs w:val="20"/>
        </w:rPr>
        <w:t>8 (48646) 4-13-08</w:t>
      </w:r>
    </w:p>
    <w:sectPr>
      <w:pgSz w:w="11906" w:h="16838"/>
      <w:pgMar w:top="426" w:right="566" w:bottom="709" w:left="709"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FDE"/>
    <w:rsid w:val="00000C25"/>
    <w:rsid w:val="000268E1"/>
    <w:rsid w:val="000A09D7"/>
    <w:rsid w:val="000C6B82"/>
    <w:rsid w:val="000D4AC0"/>
    <w:rsid w:val="0010001E"/>
    <w:rsid w:val="00110B71"/>
    <w:rsid w:val="0011325C"/>
    <w:rsid w:val="0011615F"/>
    <w:rsid w:val="00116191"/>
    <w:rsid w:val="00134EE9"/>
    <w:rsid w:val="001741E5"/>
    <w:rsid w:val="001A3932"/>
    <w:rsid w:val="001A7E99"/>
    <w:rsid w:val="001B08C4"/>
    <w:rsid w:val="001D3577"/>
    <w:rsid w:val="001D6684"/>
    <w:rsid w:val="001E6222"/>
    <w:rsid w:val="001F1B4A"/>
    <w:rsid w:val="00216EF8"/>
    <w:rsid w:val="0026097A"/>
    <w:rsid w:val="00267D8F"/>
    <w:rsid w:val="00272BF9"/>
    <w:rsid w:val="00282A60"/>
    <w:rsid w:val="00282AAF"/>
    <w:rsid w:val="00286514"/>
    <w:rsid w:val="002A3034"/>
    <w:rsid w:val="002B006F"/>
    <w:rsid w:val="002B4A55"/>
    <w:rsid w:val="002B6123"/>
    <w:rsid w:val="002C0187"/>
    <w:rsid w:val="00303A18"/>
    <w:rsid w:val="00306078"/>
    <w:rsid w:val="0030608B"/>
    <w:rsid w:val="00317177"/>
    <w:rsid w:val="00350D69"/>
    <w:rsid w:val="003671B7"/>
    <w:rsid w:val="00376EE6"/>
    <w:rsid w:val="003A2FDE"/>
    <w:rsid w:val="003B5905"/>
    <w:rsid w:val="00403B66"/>
    <w:rsid w:val="0042117A"/>
    <w:rsid w:val="004301A7"/>
    <w:rsid w:val="00444CDB"/>
    <w:rsid w:val="00463963"/>
    <w:rsid w:val="00465E07"/>
    <w:rsid w:val="0047399C"/>
    <w:rsid w:val="00481D31"/>
    <w:rsid w:val="00495CD2"/>
    <w:rsid w:val="004A0ECE"/>
    <w:rsid w:val="004C050A"/>
    <w:rsid w:val="004D7FE0"/>
    <w:rsid w:val="004E204D"/>
    <w:rsid w:val="004E2ABB"/>
    <w:rsid w:val="0051183B"/>
    <w:rsid w:val="0051347E"/>
    <w:rsid w:val="00514680"/>
    <w:rsid w:val="00523771"/>
    <w:rsid w:val="0053159A"/>
    <w:rsid w:val="00531BD0"/>
    <w:rsid w:val="00545E28"/>
    <w:rsid w:val="00563E4A"/>
    <w:rsid w:val="0056605B"/>
    <w:rsid w:val="00596A52"/>
    <w:rsid w:val="005C16B0"/>
    <w:rsid w:val="005E54E9"/>
    <w:rsid w:val="006242D3"/>
    <w:rsid w:val="00636A14"/>
    <w:rsid w:val="00643465"/>
    <w:rsid w:val="00677DF1"/>
    <w:rsid w:val="006927D5"/>
    <w:rsid w:val="00693499"/>
    <w:rsid w:val="00695CCF"/>
    <w:rsid w:val="006C39E1"/>
    <w:rsid w:val="006C4DD0"/>
    <w:rsid w:val="006C5A87"/>
    <w:rsid w:val="006D34BD"/>
    <w:rsid w:val="006E6326"/>
    <w:rsid w:val="00704D82"/>
    <w:rsid w:val="00716A51"/>
    <w:rsid w:val="00726BEB"/>
    <w:rsid w:val="007271AE"/>
    <w:rsid w:val="00741DDA"/>
    <w:rsid w:val="00767DF6"/>
    <w:rsid w:val="00774595"/>
    <w:rsid w:val="00786D49"/>
    <w:rsid w:val="007A1D10"/>
    <w:rsid w:val="007A2E2E"/>
    <w:rsid w:val="007A40F7"/>
    <w:rsid w:val="007B7163"/>
    <w:rsid w:val="007E2ECB"/>
    <w:rsid w:val="007F18E8"/>
    <w:rsid w:val="00810BAD"/>
    <w:rsid w:val="00816F7D"/>
    <w:rsid w:val="00820D12"/>
    <w:rsid w:val="00820D64"/>
    <w:rsid w:val="00824AE1"/>
    <w:rsid w:val="008369BE"/>
    <w:rsid w:val="0084543F"/>
    <w:rsid w:val="00861EF5"/>
    <w:rsid w:val="008643A5"/>
    <w:rsid w:val="00871112"/>
    <w:rsid w:val="008835FD"/>
    <w:rsid w:val="0089552F"/>
    <w:rsid w:val="008A156D"/>
    <w:rsid w:val="008C03D4"/>
    <w:rsid w:val="008F1ED5"/>
    <w:rsid w:val="008F200E"/>
    <w:rsid w:val="00900BF8"/>
    <w:rsid w:val="00906FFA"/>
    <w:rsid w:val="009110AE"/>
    <w:rsid w:val="0092762B"/>
    <w:rsid w:val="00956D9B"/>
    <w:rsid w:val="00975CB4"/>
    <w:rsid w:val="00987BC4"/>
    <w:rsid w:val="0099379C"/>
    <w:rsid w:val="009D37C6"/>
    <w:rsid w:val="009E3D35"/>
    <w:rsid w:val="009E7B73"/>
    <w:rsid w:val="00A3390E"/>
    <w:rsid w:val="00A65AF0"/>
    <w:rsid w:val="00A77BB6"/>
    <w:rsid w:val="00AB07B8"/>
    <w:rsid w:val="00AC7157"/>
    <w:rsid w:val="00AE0510"/>
    <w:rsid w:val="00AE4640"/>
    <w:rsid w:val="00AE58BE"/>
    <w:rsid w:val="00B26EA5"/>
    <w:rsid w:val="00B45A04"/>
    <w:rsid w:val="00B45EEE"/>
    <w:rsid w:val="00B808C3"/>
    <w:rsid w:val="00B93890"/>
    <w:rsid w:val="00BA0795"/>
    <w:rsid w:val="00BE62E5"/>
    <w:rsid w:val="00BF104F"/>
    <w:rsid w:val="00BF6827"/>
    <w:rsid w:val="00C17BF5"/>
    <w:rsid w:val="00C22862"/>
    <w:rsid w:val="00C30B28"/>
    <w:rsid w:val="00C36449"/>
    <w:rsid w:val="00C4060D"/>
    <w:rsid w:val="00C645C4"/>
    <w:rsid w:val="00C92F15"/>
    <w:rsid w:val="00CE1BB0"/>
    <w:rsid w:val="00D21F08"/>
    <w:rsid w:val="00D51FE5"/>
    <w:rsid w:val="00D55E4C"/>
    <w:rsid w:val="00D84FF6"/>
    <w:rsid w:val="00DA5FB7"/>
    <w:rsid w:val="00DC2EBD"/>
    <w:rsid w:val="00DD6AD5"/>
    <w:rsid w:val="00DD7F27"/>
    <w:rsid w:val="00DF5C9D"/>
    <w:rsid w:val="00E12FD5"/>
    <w:rsid w:val="00E16462"/>
    <w:rsid w:val="00E278C4"/>
    <w:rsid w:val="00E35767"/>
    <w:rsid w:val="00E41E26"/>
    <w:rsid w:val="00E87CBD"/>
    <w:rsid w:val="00ED67EC"/>
    <w:rsid w:val="00ED6B5E"/>
    <w:rsid w:val="00EE1BC3"/>
    <w:rsid w:val="00EF40A9"/>
    <w:rsid w:val="00F207D1"/>
    <w:rsid w:val="00F3202D"/>
    <w:rsid w:val="00F3304C"/>
    <w:rsid w:val="00F404FB"/>
    <w:rsid w:val="00F4765A"/>
    <w:rsid w:val="00F5523C"/>
    <w:rsid w:val="00F80536"/>
    <w:rsid w:val="00F90829"/>
    <w:rsid w:val="00FA3EF6"/>
    <w:rsid w:val="00FB6504"/>
    <w:rsid w:val="00FD45BA"/>
    <w:rsid w:val="00FE48DD"/>
    <w:rsid w:val="00FE710D"/>
    <w:rsid w:val="00FE762F"/>
    <w:rsid w:val="00FF0537"/>
    <w:rsid w:val="12F210E0"/>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 w:semiHidden="0" w:name="heading 2" w:locked="1"/>
    <w:lsdException w:qFormat="1" w:unhideWhenUsed="0" w:uiPriority="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link w:val="13"/>
    <w:qFormat/>
    <w:locked/>
    <w:uiPriority w:val="9"/>
    <w:pPr>
      <w:spacing w:before="100" w:beforeAutospacing="1" w:after="100" w:afterAutospacing="1"/>
      <w:outlineLvl w:val="0"/>
    </w:pPr>
    <w:rPr>
      <w:b/>
      <w:bCs/>
      <w:kern w:val="36"/>
      <w:sz w:val="48"/>
      <w:szCs w:val="48"/>
    </w:rPr>
  </w:style>
  <w:style w:type="paragraph" w:styleId="3">
    <w:name w:val="heading 2"/>
    <w:basedOn w:val="1"/>
    <w:link w:val="14"/>
    <w:qFormat/>
    <w:locked/>
    <w:uiPriority w:val="9"/>
    <w:pPr>
      <w:spacing w:before="100" w:beforeAutospacing="1" w:after="100" w:afterAutospacing="1"/>
      <w:outlineLvl w:val="1"/>
    </w:pPr>
    <w:rPr>
      <w:b/>
      <w:bCs/>
      <w:sz w:val="36"/>
      <w:szCs w:val="36"/>
    </w:rPr>
  </w:style>
  <w:style w:type="paragraph" w:styleId="4">
    <w:name w:val="heading 3"/>
    <w:basedOn w:val="1"/>
    <w:link w:val="15"/>
    <w:qFormat/>
    <w:locked/>
    <w:uiPriority w:val="9"/>
    <w:pPr>
      <w:spacing w:before="100" w:beforeAutospacing="1" w:after="100" w:afterAutospacing="1"/>
      <w:outlineLvl w:val="2"/>
    </w:pPr>
    <w:rPr>
      <w:b/>
      <w:bCs/>
      <w:sz w:val="27"/>
      <w:szCs w:val="27"/>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qFormat/>
    <w:uiPriority w:val="99"/>
    <w:rPr>
      <w:rFonts w:cs="Times New Roman"/>
      <w:color w:val="0000FF"/>
      <w:u w:val="single"/>
    </w:rPr>
  </w:style>
  <w:style w:type="character" w:styleId="8">
    <w:name w:val="Strong"/>
    <w:basedOn w:val="5"/>
    <w:qFormat/>
    <w:locked/>
    <w:uiPriority w:val="22"/>
    <w:rPr>
      <w:b/>
      <w:bCs/>
    </w:rPr>
  </w:style>
  <w:style w:type="paragraph" w:styleId="9">
    <w:name w:val="Balloon Text"/>
    <w:basedOn w:val="1"/>
    <w:link w:val="11"/>
    <w:semiHidden/>
    <w:qFormat/>
    <w:uiPriority w:val="99"/>
    <w:rPr>
      <w:rFonts w:ascii="Tahoma" w:hAnsi="Tahoma" w:cs="Tahoma"/>
      <w:sz w:val="16"/>
      <w:szCs w:val="16"/>
    </w:rPr>
  </w:style>
  <w:style w:type="paragraph" w:styleId="10">
    <w:name w:val="Normal (Web)"/>
    <w:basedOn w:val="1"/>
    <w:qFormat/>
    <w:uiPriority w:val="99"/>
    <w:pPr>
      <w:spacing w:before="100" w:beforeAutospacing="1" w:after="100" w:afterAutospacing="1"/>
    </w:pPr>
  </w:style>
  <w:style w:type="character" w:customStyle="1" w:styleId="11">
    <w:name w:val="Текст выноски Знак"/>
    <w:basedOn w:val="5"/>
    <w:link w:val="9"/>
    <w:semiHidden/>
    <w:qFormat/>
    <w:uiPriority w:val="99"/>
    <w:rPr>
      <w:sz w:val="0"/>
      <w:szCs w:val="0"/>
    </w:rPr>
  </w:style>
  <w:style w:type="paragraph" w:customStyle="1" w:styleId="12">
    <w:name w:val="Знак Знак2 Char Char Знак Знак Char Char Знак Знак Char Char Знак Знак Char Char Знак Знак Char Char Знак Знак Char Char Знак Знак Char Char Знак Знак Char Char"/>
    <w:basedOn w:val="1"/>
    <w:qFormat/>
    <w:uiPriority w:val="99"/>
    <w:pPr>
      <w:suppressAutoHyphens/>
      <w:spacing w:before="100" w:beforeAutospacing="1" w:after="100" w:afterAutospacing="1"/>
    </w:pPr>
    <w:rPr>
      <w:rFonts w:ascii="Tahoma" w:hAnsi="Tahoma"/>
      <w:sz w:val="20"/>
      <w:szCs w:val="20"/>
      <w:lang w:val="en-US" w:eastAsia="en-US"/>
    </w:rPr>
  </w:style>
  <w:style w:type="character" w:customStyle="1" w:styleId="13">
    <w:name w:val="Заголовок 1 Знак"/>
    <w:basedOn w:val="5"/>
    <w:link w:val="2"/>
    <w:qFormat/>
    <w:uiPriority w:val="9"/>
    <w:rPr>
      <w:b/>
      <w:bCs/>
      <w:kern w:val="36"/>
      <w:sz w:val="48"/>
      <w:szCs w:val="48"/>
    </w:rPr>
  </w:style>
  <w:style w:type="character" w:customStyle="1" w:styleId="14">
    <w:name w:val="Заголовок 2 Знак"/>
    <w:basedOn w:val="5"/>
    <w:link w:val="3"/>
    <w:qFormat/>
    <w:uiPriority w:val="9"/>
    <w:rPr>
      <w:b/>
      <w:bCs/>
      <w:sz w:val="36"/>
      <w:szCs w:val="36"/>
    </w:rPr>
  </w:style>
  <w:style w:type="character" w:customStyle="1" w:styleId="15">
    <w:name w:val="Заголовок 3 Знак"/>
    <w:basedOn w:val="5"/>
    <w:link w:val="4"/>
    <w:qFormat/>
    <w:uiPriority w:val="9"/>
    <w:rPr>
      <w:b/>
      <w:bCs/>
      <w:sz w:val="27"/>
      <w:szCs w:val="27"/>
    </w:rPr>
  </w:style>
  <w:style w:type="paragraph" w:styleId="1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15861-2080-486E-9BDD-38001BCD8C80}">
  <ds:schemaRefs/>
</ds:datastoreItem>
</file>

<file path=docProps/app.xml><?xml version="1.0" encoding="utf-8"?>
<Properties xmlns="http://schemas.openxmlformats.org/officeDocument/2006/extended-properties" xmlns:vt="http://schemas.openxmlformats.org/officeDocument/2006/docPropsVTypes">
  <Template>Normal</Template>
  <Company>MoBIL GROUP</Company>
  <Pages>3</Pages>
  <Words>918</Words>
  <Characters>7012</Characters>
  <Lines>59</Lines>
  <Paragraphs>16</Paragraphs>
  <TotalTime>2</TotalTime>
  <ScaleCrop>false</ScaleCrop>
  <LinksUpToDate>false</LinksUpToDate>
  <CharactersWithSpaces>7937</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2026-07-17T09:02:00Z</dcterms:created>
  <dc:creator>Юрист</dc:creator>
  <cp:lastModifiedBy>WPS_1782226786</cp:lastModifiedBy>
  <cp:lastPrinted>2024-11-27T09:00:00Z</cp:lastPrinted>
  <dcterms:modified xsi:type="dcterms:W3CDTF">2026-07-28T13:50:54Z</dcterms:modified>
  <dc:title>ФЕДЕРАЛЬНАЯ СЛУЖБА ПО НАДЗОРУ В  СФЕРЕ ЗАЩИТЫ ПРАВ ПОТРЕБИТЕЛЕЙ</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eyJoZGlkIjoiODBhZmE5MzA3ZGJhNzgyMTIzN2UwMTM4NTI5ZDk4YzQiLCJ1c2VySWQiOiI4MjQ2MzY1NzQyMzgifQ==</vt:lpwstr>
  </property>
  <property fmtid="{D5CDD505-2E9C-101B-9397-08002B2CF9AE}" pid="3" name="KSOProductBuildVer">
    <vt:lpwstr>1049-12.1.0.27458</vt:lpwstr>
  </property>
  <property fmtid="{D5CDD505-2E9C-101B-9397-08002B2CF9AE}" pid="4" name="ICV">
    <vt:lpwstr>7163D2D5D985451E81906F5FFF7E8F10_13</vt:lpwstr>
  </property>
</Properties>
</file>