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5" w:rsidRDefault="00935605" w:rsidP="00935605">
      <w:pPr>
        <w:autoSpaceDE w:val="0"/>
        <w:autoSpaceDN w:val="0"/>
        <w:adjustRightInd w:val="0"/>
        <w:spacing w:after="120" w:line="240" w:lineRule="auto"/>
        <w:ind w:right="-1800"/>
        <w:jc w:val="right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Приложение 2</w:t>
      </w:r>
    </w:p>
    <w:p w:rsidR="00935605" w:rsidRDefault="00935605" w:rsidP="00935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плана первоочередных мероприятий по обеспечению устойчивого развития</w:t>
      </w:r>
      <w:r>
        <w:rPr>
          <w:rFonts w:ascii="Times New Roman CYR" w:hAnsi="Times New Roman CYR" w:cs="Times New Roman CYR"/>
          <w:sz w:val="28"/>
          <w:szCs w:val="28"/>
        </w:rPr>
        <w:br/>
        <w:t>экономики и социальной стабильности в Знаменском районе Орловской области в 2016 году по состоянию на 1 ноября 2016 года</w:t>
      </w:r>
    </w:p>
    <w:p w:rsidR="00935605" w:rsidRPr="00935605" w:rsidRDefault="00935605" w:rsidP="009356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042"/>
        <w:gridCol w:w="1967"/>
        <w:gridCol w:w="4118"/>
        <w:gridCol w:w="2797"/>
        <w:gridCol w:w="3288"/>
      </w:tblGrid>
      <w:tr w:rsid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 о выполнении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проблемные вопросы)</w:t>
            </w:r>
          </w:p>
        </w:tc>
      </w:tr>
      <w:tr w:rsid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Default="00935605" w:rsidP="00935605">
            <w:pPr>
              <w:numPr>
                <w:ilvl w:val="0"/>
                <w:numId w:val="1"/>
              </w:numPr>
              <w:tabs>
                <w:tab w:val="left" w:pos="1921"/>
              </w:tabs>
              <w:autoSpaceDE w:val="0"/>
              <w:autoSpaceDN w:val="0"/>
              <w:adjustRightInd w:val="0"/>
              <w:spacing w:after="0" w:line="240" w:lineRule="auto"/>
              <w:ind w:left="720" w:hanging="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Активизация экономического роста</w:t>
            </w:r>
          </w:p>
        </w:tc>
      </w:tr>
      <w:tr w:rsid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Стабилизационные меры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по легализации объектов налогообложения, включая работу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с убыточными организациями, выплачивающими заработную плату ниже прожиточного минимума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 имеющими недоимку по платежам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бюджет, работа по снижению неформальной занятости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Знаменском районе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Распоряжением Администрации Знаменского района от 10.09.2014 года создана межведомственная комиссия по координации мероприятий, проводимых в целях обеспечения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поступлением налогов и сборов, легализации налоговой базы. За отчетный период проведено 2 заседания, на которые были приглашены задолжники по транспортному и земельному налогам. 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35605" w:rsidRPr="00935605" w:rsidRDefault="00935605" w:rsidP="0093560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042"/>
        <w:gridCol w:w="1967"/>
        <w:gridCol w:w="4118"/>
        <w:gridCol w:w="2797"/>
      </w:tblGrid>
      <w:tr w:rsidR="00935605">
        <w:tblPrEx>
          <w:tblCellMar>
            <w:top w:w="0" w:type="dxa"/>
            <w:bottom w:w="0" w:type="dxa"/>
          </w:tblCellMar>
        </w:tblPrEx>
        <w:trPr>
          <w:gridAfter w:val="3"/>
          <w:wAfter w:w="8882" w:type="dxa"/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Обеспечение сбалансированности бюджета района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материалов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в Департамент финансов Орловской области для получения дополнительной дотации на поддержку мер по обеспечению сбалансированности бюджета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полугодие 2016 года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Руководствуясь Постановлением Правительства Орловской области от 14 марта 2012 года № 74 </w:t>
            </w:r>
            <w:r w:rsidRPr="009356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об утверждении Порядка предоставления из областного бюджета дотаций на поддержку мер по обеспечению сбалансированности бюджетов</w:t>
            </w:r>
            <w:r w:rsidRPr="0093560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финансовым отделом в 2016 году ходатайства о финансовой помощи. На текущую дату району выделено из областного бюджета дотация на сбалансированность в сумме 5072,7 тыс. рублей.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Недопущение принятия расходных обязательств, не обеспеченных доходными источниками, а также увеличения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расходов по принятым ранее решениям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допускается увеличение расходов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по принятым ранее решениям.</w:t>
            </w:r>
          </w:p>
        </w:tc>
      </w:tr>
      <w:tr w:rsid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Погашение кредиторской задолженности районного бюджета по муниципальным контрактам на выполнение работ по строительство газораспределительных сетей по ул.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Рощинской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Гнездилово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и с. Глотово  в рамках реализации муниципальной программы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Устойчивое развитие сельских территорий Знаменского района Орловской области на 2014-2017 годы и на период до 2020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годав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пределах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средств, предусмотренных районным бюджетом на 2016 год с учетом фактического поступления доходов 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Кредиторская задолженность на 01 января 2016 года по строительству газораспределительных сетей по ул. </w:t>
            </w:r>
            <w:proofErr w:type="spellStart"/>
            <w:r>
              <w:rPr>
                <w:rFonts w:ascii="Times New Roman CYR" w:hAnsi="Times New Roman CYR" w:cs="Times New Roman CYR"/>
              </w:rPr>
              <w:t>Рощинской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с. </w:t>
            </w:r>
            <w:proofErr w:type="spellStart"/>
            <w:r>
              <w:rPr>
                <w:rFonts w:ascii="Times New Roman CYR" w:hAnsi="Times New Roman CYR" w:cs="Times New Roman CYR"/>
              </w:rPr>
              <w:t>Гнездилово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с. Глотово составила 795,7 тыс. рублей. Задолженность была погашена в период с  28.04.2016 года по 25.07.2016 года.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Оптимизация бюджетных расходов в рамках пересмотра приоритетности реализации муниципальных программ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года по мере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Администрацией района разработаны планы мероприятий по росту  доходов и оптимизации расходов, в том числе проводится работа по пересмотру приоритетности реализации муниципальных программ.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gridAfter w:val="3"/>
          <w:wAfter w:w="8882" w:type="dxa"/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Меры по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импортозамещению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и поддержке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несырьевого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экспорта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gridAfter w:val="3"/>
          <w:wAfter w:w="8882" w:type="dxa"/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Поддержка малого и среднего предпринимательства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мероприятий подпрограммы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поддержка малого и среднего предпринимательства в Знаменском районе Орловской области на 2014–2020 годы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муниципальной программы Орловской области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предпринимательства и деловой активности в Знаменском районе Орловской области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субсидирование начинающих предпринимателей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года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Проводится информационное сопровождение страницы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Малое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среднее предпринимательство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официальном сайте Администрации Знаменского района в сети Интернет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дополнительно размещен баннер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Господдержка Орловского бизнеса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 2016 года в малом зале администрации района состоялся семинар с представителями малого и среднего бизнеса.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Реализация мероприятий Дорожной карты активизации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предпринимательской и инвестиционной деятельности Знаменского района Орловской области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2016 года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целях активизации инвестиционной деятельности на официальном сайте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Администрации Знаменского района размещены: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 о свободных объектах недвижимости;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 Инвестиционной привлекательности района, которая была представлена в Департамент экономического развития и инвестиционной деятельности Орловской области.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целях взаимодействия по вопросу привлечения инвестиций администрацией района заключено Соглашение с АО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Корпорация развития Орловской области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35605">
        <w:tblPrEx>
          <w:tblCellMar>
            <w:top w:w="0" w:type="dxa"/>
            <w:bottom w:w="0" w:type="dxa"/>
          </w:tblCellMar>
        </w:tblPrEx>
        <w:trPr>
          <w:gridAfter w:val="3"/>
          <w:wAfter w:w="8882" w:type="dxa"/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Default="00935605" w:rsidP="009356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Поддержка отраслей экономики</w:t>
            </w:r>
          </w:p>
        </w:tc>
      </w:tr>
      <w:tr w:rsidR="00935605">
        <w:tblPrEx>
          <w:tblCellMar>
            <w:top w:w="0" w:type="dxa"/>
            <w:bottom w:w="0" w:type="dxa"/>
          </w:tblCellMar>
        </w:tblPrEx>
        <w:trPr>
          <w:gridAfter w:val="3"/>
          <w:wAfter w:w="8882" w:type="dxa"/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Сельское хозяйство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мероприятий 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муниципальной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Знаменского района Орловской области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Знаменском районе Орловской области на 2015–2020 годы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в части проведения мероприятий, развитие защищенного грунта.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привлечения дополнительных средств областного и федерального бюджетов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государственную поддержку сельского хозяйства района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течение года по мере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Знаменском районе работают три сельскохозяйственных холдинга, три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сельскохозяйственных предприятия, 14 крестьянских (фермерских) хозяйств, 1960 ЛПХ.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посевная площадь составила 26,9 тыс. гектаров, зерновых 24 тыс. гектаров. Валовой сбор зерна без кукурузы составил 40 тыс. тонн,  производство кукурузы составит по оценке 63 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онн. Ожидаемый урожай зерновых составит  более 100 тыс. тонн.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 районе имеется 849 голов КРС, численность которых увеличилась на 55 голов к уровню 2015 года, из них 344 головы коров (+ 17 голов к 2015 году), 585 голов овец и коз (+72 головы к 2015 году), птицы 14451 голова (+402 гол.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 2015 году. В районе развивается  альтернативное свиноводству животноводство в соответствии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мероприятием госпрограммы по субсидированию данного направления.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Средний удой молока от коровы за 9 месяцев 2016 года в хозяйствах всех категорий составил 5090 кг.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Размер полученной государственной поддержки на развитие сельского хозяйства за 9 месяцев 2016 года составил 5115 тыс.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рублей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том числе 4577 тыс. рублей из федерального бюджета и 538 тыс. рублей из областного бюджета.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9.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Продвижение на потребительский рынок Знаменского района продовольственных товаров местных товаропроизводителей, реализация мероприятий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развитию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многоформатной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торговли, в первую очередь ярмарочной торговли. Обеспечение взаимодействия торговых сетей и местных товаропроизводителей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 торговли населению района на сегодня обеспечивают 49 объектов торговли.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целях обеспечения ценовой и территориальной доступности социально значимых продовольственных товаров для жителей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Знаменского района организована работа  универсальной ярмарки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торговых мест.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взаимодействия организаций торговли и региональных товаропроизводителей осуществляется посредством доведения списка региональных товаропроизводителей до предприятий торговли. Хлебобулочные изделия Знаменской пекарни имеются во всех торговых точках райцентра.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5605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gridAfter w:val="3"/>
          <w:wAfter w:w="8882" w:type="dxa"/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федеральной целевой программе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Устойчивое развитие сельских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территорий на 2014–2017 годы и на период до 2020 года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»,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2016 года запланировано участие в программе  одной семьи. В реестр получателей семья включена, финансовые средства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выделены.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11.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плана приобретения жилья за счет бюджетных сре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амках реализации мероприятий государственной программы Орловской области </w:t>
            </w:r>
            <w:r w:rsidRPr="0093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Стимулирование социального жилищного строительства в Орловской области</w:t>
            </w:r>
            <w:r w:rsidRPr="0093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утвержденной постановлением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Правительства Орловской области от 26 декабря 2014 года № 426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2016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получила  государственную поддержку на улучшение жилищных условий вдова участника Великой Отечественной войны.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Планируется приобретение двух благоустроенных       жилых помещений для детей-сирот.</w:t>
            </w:r>
          </w:p>
        </w:tc>
      </w:tr>
      <w:tr w:rsid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12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Осуществление мероприятий программы </w:t>
            </w:r>
            <w:r w:rsidRPr="0093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Жилье для российской семьи</w:t>
            </w:r>
            <w:r w:rsidRPr="0093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 рамках реализации государственной программы Российской Федерации </w:t>
            </w:r>
            <w:r w:rsidRPr="0093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 w:rsidRPr="0093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утвержденной 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постановлением Правительства Российской Федерации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от 15 апреля 2014 года № 323: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расширение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стимулирования кредитования строительства жилья экономического класса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объектов инженерной инфраструктуры  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2016-2017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35605">
        <w:tblPrEx>
          <w:tblCellMar>
            <w:top w:w="0" w:type="dxa"/>
            <w:bottom w:w="0" w:type="dxa"/>
          </w:tblCellMar>
        </w:tblPrEx>
        <w:trPr>
          <w:gridAfter w:val="3"/>
          <w:wAfter w:w="8882" w:type="dxa"/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Транспорт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муниципальной программы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пассажирского транспорта общего пользования Знаменского района Орловской области на 2014–2017 годы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Администрацией района проведена работа по приведению муниципальных правовых актов в соответствие с Федеральным законом от 13 июля 2015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годав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№ 220- ФХ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принято постановление администрации района от 19 февраля 2016 года № 29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Положения об организации регулярных перевозок пассажиров и багажа автомобильным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транспортом по муниципальным маршрутам Знаменского района Орловской области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которым принят документ планирования регулярных перевозок и дважды проведен открытый конкурс среди перевозчиков на право получения свидетельства об осуществлении перевозок по маршрутам регулярных перевозок Знаменского района Орловской области, который был признан несостоявшимся в связи с тем, что не было подано ни одной заявки на участие в конкурсе.</w:t>
            </w:r>
            <w:proofErr w:type="gramEnd"/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14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муниципальной программы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Ремонт автомобильных дорог общего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пользования местного значения на территории Знаменского района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2014–2016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рамках программы в результате проведенных электронных аукционов определен подрядчик и заключены муниципальные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контракты по выполнению работ по ремонту в отношении двух объектов: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дорожная сеть в с. Знаменское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ул. Ленина Горького  Кирова) и ул. Совхозная и пер. Совхозный. Срок исполнения муниципальных контрактов 15 ноября 2016 года. В результате будет приведено в нормативное состояние около 3 км автодорог общего пользования местного значения.</w:t>
            </w:r>
          </w:p>
        </w:tc>
      </w:tr>
      <w:tr w:rsidR="00935605">
        <w:tblPrEx>
          <w:tblCellMar>
            <w:top w:w="0" w:type="dxa"/>
            <w:bottom w:w="0" w:type="dxa"/>
          </w:tblCellMar>
        </w:tblPrEx>
        <w:trPr>
          <w:gridAfter w:val="3"/>
          <w:wAfter w:w="8882" w:type="dxa"/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Default="00935605" w:rsidP="009356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Обеспечение социальной стабильности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15.11.16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</w:t>
            </w:r>
            <w:hyperlink r:id="rId5" w:history="1">
              <w:proofErr w:type="gramStart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План</w:t>
              </w:r>
              <w:proofErr w:type="gramEnd"/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а мероприятий (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дорожной карты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Изменения в отраслях социальной сферы, направленные на повышение эффективности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образования в Орловской области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утвержденного распоряжением Правительства Орловской области от 29 марта 2013 года № 132-р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16.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Сохранение средней заработной платы педагогических работников общеобразовательных организаций на уровне 101,5 % средней заработной платы в целом по региону (среднемесячного дохода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от трудовой деятельности)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результатам мониторинга за январь–сентябрь2016 года уровень средней заработной платы педагогических 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работников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общеобразовате-льных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организаций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20,323 тыс. рублей, или 98,4 % к оце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нке средней заработной платы по региону в целом (среднемесячному доходу от трудовой деятельности) за 2016 год.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Сохранение средней заработной платы педагогических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работников дошкольных образовательных организаций на уровне 99,0 % к средней заработной плате всех работников общеобразовательных учреждений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Ежеквартально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результатам мониторинга за январь–сентябрь2016 года уровень средней заработной платы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педагогических 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работников дошкольных образовательных </w:t>
            </w:r>
            <w:proofErr w:type="spellStart"/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организаций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20,620 тыс. рублей, или 115,6 % 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средней заработной плате всех работников общеобразовательных учреждений.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18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Доведение средней заработной платы работников учреждений дополнительного образования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до 80,2 % к средней заработной плате учителей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Ежеквартально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результатам мониторинга за январь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нтябрь 2016 года уровень средней заработной платы педагогического персонала организаций дополнительного образования составил 17,598 тыс. рублей, или 82,6 % к средней заработной плате учителей. 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Доведение средней заработной платы работников учреждений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культурыв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2016 году до 68,5 % 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средней заработной плате по региону в целом (среднемесячному доходу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 трудовой деятельности)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рамках реализации </w:t>
            </w:r>
            <w:hyperlink r:id="rId6" w:history="1">
              <w:proofErr w:type="gramStart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План</w:t>
              </w:r>
              <w:proofErr w:type="gramEnd"/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а мероприятий (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дорожной карты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Изменения в отраслях социальной сферы, направленные на повышение эффективности сферы культуры в Орловской области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утвержденного распоряжением Правительства Орловской области от 31 января 2013 года № 31-р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Ежеквартально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результатам мониторинга за январь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нтябрь 2016 года уровень средней заработной платы работников учреждений культуры  составил 13758,81 рублей , или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66,7 % к оценке средней заработной платы по региону в целом (среднемесячному доходу от трудовой деятельности) за 2016 год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20.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100 %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доступности дошкольного образования в рамках исполнения Указа Президента Российской Федерации от 7 мая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года № 599 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мерах по реализации государственной политики в области образования и науки</w:t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Детей в возрасте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 3 лет до 7 лет, не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обеспеченных местом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дошкольных образовательных организациях  в детских садах района нет. </w:t>
            </w:r>
          </w:p>
        </w:tc>
      </w:tr>
      <w:tr w:rsidR="00935605">
        <w:tblPrEx>
          <w:tblCellMar>
            <w:top w:w="0" w:type="dxa"/>
            <w:bottom w:w="0" w:type="dxa"/>
          </w:tblCellMar>
        </w:tblPrEx>
        <w:trPr>
          <w:gridAfter w:val="3"/>
          <w:wAfter w:w="8882" w:type="dxa"/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Социальная поддержка граждан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Финансовое обеспечение исполнения публичных нормативных обязатель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еделах средств, утвержденных районным бюджетом, с учетом фактического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поступления доходов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 Знаменского района Орловской области от 24 мая 2016 года № 75 утвержден перечень публичных обязательств, подлежащих исполнению за счет средств бюджета муниципального район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компенсация части родительской планы за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присмотр и уход за детьми, посещающими муниципальные образовательные учреждения. При годовом плане 362,7 тыс. рублей исполнение за 9 месяцев 2016 года составило 234,3 тыс. рублей, или 65%.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gridAfter w:val="3"/>
          <w:wAfter w:w="8882" w:type="dxa"/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lastRenderedPageBreak/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Улучшение лекарственного обеспечения граждан, недопущение необоснованного роста цен на лекарственные препараты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tabs>
                <w:tab w:val="left" w:pos="614"/>
                <w:tab w:val="left" w:pos="756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Обеспечено2964 бесплатных рецепта на общую сумму 1190,4 тыс. рублей. 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gridAfter w:val="3"/>
          <w:wAfter w:w="8882" w:type="dxa"/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605" w:rsidRPr="00935605" w:rsidRDefault="00935605" w:rsidP="009356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Мониторинг и контроль ситуации в экономике и социальной сфере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23.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оперативного мониторинга потребительских цен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на социально значимые продовольственные товары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Еженедельно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Администрацией района осуществляется мониторинг цен на 40 видов социально значимых продовольственных товаров на территории района по перечню, утвержденному Правительством Российской Федерацией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Минпромторгом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Динамика уровня розничных цен на социально значимые продовольственные товары первой необходимости, находится на постоянном контроле.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рамках межведомственного взаимодействия информация о повышении цен на продовольственные товары систематически направляется в Управление координации целевых программ, пищевой,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перерабатывающей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lastRenderedPageBreak/>
              <w:t xml:space="preserve">промышленности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рыночной инфраструктуры Орловской области 26 октября 2016 года подготовлена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 представлена в Управление координации целевых программ, пищевой,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перерабатывающей промышленности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рыночной инфраструктуры Орловской области в октябре 2016 года.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целом цены на продовольственную группу товаров в районе в октябре текущего года относительно предыдущего месяца практически не изменились (99,7 %), относительно декабря 2015 года прирост составил 2,3 %. Цены выросли на следующие социально-значимые продукты питания: крупа </w:t>
            </w:r>
            <w:proofErr w:type="spellStart"/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>гречневая-ядрица</w:t>
            </w:r>
            <w:proofErr w:type="spellEnd"/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– 136,1%, картофель – 128,9%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чай черный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байховый – 121,9%, яблоки – 113,3%, хлеб из ржаной муки и из смеси муки ржаной и пшеничной – 110,8%, 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морковь – 110,5%, сахар-песок</w:t>
            </w:r>
            <w:proofErr w:type="gramEnd"/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– 109,3%, </w:t>
            </w:r>
            <w:proofErr w:type="spellStart"/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рыба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мороженная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неразделанная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108,7%, масло сливочное – 107,2%, лук репчатый – 105,5%. 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Снижение цен произошло на следующие продовольственные товары: яйца куриные – 74,4%, рис шлифованный – 87,3%, пшено –  96,6%, свинина – 97,2%, капуста свежая – 98,3%.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24.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мониторинга ситуации в  организациях Знаменского района, оказывающих  влияние на формирование социально-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экономической ситуации 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Ежемесячно отделом сельского хозяйства и продовольствия составляется отчет о состоянии животноводства. Ежеквартально проводится мониторинг ситуации по трем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сельхозпредприятиям района, проводится анализ статистических отчетов по всем категориях хозяйств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..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gramEnd"/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25.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мониторинга увольнений работников в связи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с ликвидацией организаций либо сокращением численности или штата работников, а также неполной занятости работников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Еженедельно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данным еженедельного мониторинга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с 1 января по  1 ноября 2016 года в связи с сокращением (ликвидацией) было уволено 10 сотрудников предприятий и организаций района.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мониторинга финансово-экономического состояния предприятий и организаций, имеющих особое значение для экономики Знаменского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района в сфере сельского хозяйства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Мониторинг финансово- экономического состояния сельскохозяйственных организаций проводится отделом сельского хозяйства и продовольствия.</w:t>
            </w:r>
          </w:p>
        </w:tc>
      </w:tr>
      <w:tr w:rsidR="00935605" w:rsidRPr="009356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27.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мониторинга изменения показателей социально-экономической ситуации в Знаменском районе</w:t>
            </w:r>
          </w:p>
        </w:tc>
        <w:tc>
          <w:tcPr>
            <w:tcW w:w="4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left="-95" w:right="-1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Ежеквартально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Социально-экономическая ситуация в Знаменском районе во многом определяется общероссийской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общеобластной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ситуацией.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Индекс промышленного производства за 2015 год составил 86,9 %. Объем отгруженных товаров собственного производства составил  25,4 млн. рублей, что ниже предыдущего года на 13,1 %.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производства сельскохозяйственной продукции во всех категориях хозяйств в 2015 году составил 1150,1 млн. рублей, или 127,3 % – в действующих ценах.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Потребительский рынок товаров и услуг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района в 2015 году характеризовался 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снижением  физических объемов оборота розничной торговли на 3,5 %,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 в действующих обеспечен его рост на 14,4 процента.</w:t>
            </w:r>
            <w:proofErr w:type="gramEnd"/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экономику и социальную сферу области было направлено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30,5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млн. рублей инвестиций в основной капитал, что составляет 69,6 %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к уровню 2014 года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фактически действующих.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Введено 2794 кв. м общей площади жилья, что составляет 146,6 % к уровню 2014 года.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2015 году среднемесячная заработная плата работников составила 15878 рублей и увеличилась на 5,1 %. Реальное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реальной заработной платы – 90,1 %.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экономики в текущем году идет под влиянием целого комплекса негативных факторов. Наиболее острые на сегодняшний день проблемы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отраслях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экономики, мешающие хозяйствующим субъектам планировать свою дальнейшую деятельность связаны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неопределенностью в части прогнозов на будущее, снижением платежеспособного спроса населения и предприятий, высокой стоимостью кредитных ресурсов.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Инфляция на потребительском рынке региона в 2015 году составила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12,8 %.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Максимальный рост цен зафиксирован на непродовольственные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товары – 14,9 %,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продовольственные товары подорожали на 13,8 %, услуги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на 7,6 %.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Задевятьмесяцев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2016 года инфляция составила 4,6 %. Цены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относительно декабря 2015 года увеличились на продовольственные товары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на 2,3 %, на непродовольственные товары – на 5,8 %, на услуги – на 5,8 %.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Значительное замедление инфляции в текущем году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обусловлено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прежде всего существенным снижением реальных доходов населения на протяжении 2014–2015 годов. 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регистрируемой безработицы – 1,0%.</w:t>
            </w:r>
          </w:p>
          <w:p w:rsidR="00935605" w:rsidRDefault="0093560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Демографическая ситуация в Знаменском районе остается достаточно сложной. На начало 2016 года численность населения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составила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935605">
              <w:rPr>
                <w:rFonts w:ascii="Times New Roman" w:hAnsi="Times New Roman" w:cs="Times New Roman"/>
                <w:sz w:val="24"/>
                <w:szCs w:val="24"/>
              </w:rPr>
              <w:t xml:space="preserve">4579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человек, сократившись за год на 7 человек (на 0,7 %). Сокращение числа жителей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районав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2015 году 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произошло за счет естественной (-16 человек) и миграционного (+ 9 человек</w:t>
            </w:r>
            <w:proofErr w:type="gramStart"/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рироста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Основной причиной естественной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убыливрайонеявляется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превышение числа умерших над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родившихся в 2015 году в 1,2раза.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инвестиционной активности является наиболее эффективным инструментом обеспечения устойчивого роста экономики. Именно инвестиции дают импульс ее реструктуризации, созданию новых производственных фондов.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прогнозной оценке, в 2016 году за счет всех источников финансирования будет освоено 28,8 млн. рублей инвестиций в основной капитал, что составит 94,4 % в действующих ценах к уровню 2015 года.</w:t>
            </w:r>
          </w:p>
          <w:p w:rsidR="00935605" w:rsidRDefault="009356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и в прогнозном периоде 2017–2019 годов на рынке труда численность занятых в экономике сократится до 865 человек (на 0,6 % относительно 2015 года).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 безработных, рассчитанная по методологии Международной организации труда, в 2016 году по сравнению с 2015 годом незначительно снизится и составит 157 человек, уровень общей безработицы – 6,8 %.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Уровень регистрируемой безработицы к концу текущего года возрастет до 1,3 %.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</w:rPr>
            </w:pP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в районе наблюдается положительная динамика номинальных показателей, характеризующих уровень жизни населения, но при этом складывается отрицательная динамика их реальных значений.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расчетной оценке, в 2016 году номинальное значение среднемесячной заработной платы сложится в размере 16207 рублей, что выше уровня 2015 года на 2,2 %. Превышение среднегодовой инфляции над темпами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роста номинальных значений показателей уровня жизни населения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приведет к снижению реальной заработной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платы – на 5,9 %.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районе функционируют 49 торговых объектов: 27 магазинов, 21 объект мелкорозничной сети- 18 павильонов и 2 киоска, 1 ярмарочная площадка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Знаменское.</w:t>
            </w:r>
          </w:p>
          <w:p w:rsidR="00935605" w:rsidRDefault="00935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целом за 2016 год оборот розничной торговли и общественного питания оценивается в объеме 184,1 млн. рублей, или 105,3 % к предыдущему году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в фактических ценах.</w:t>
            </w:r>
          </w:p>
          <w:p w:rsidR="00935605" w:rsidRPr="00935605" w:rsidRDefault="00935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Принимаемые меры по развитию агропромышленного комплекса позволят, по прогнозным расчетам, достигнуть роста производства продукции сельского хозяйства в 2016 году на уровне 105,6 % по отношению к 2015 году.</w:t>
            </w:r>
          </w:p>
        </w:tc>
      </w:tr>
    </w:tbl>
    <w:p w:rsidR="00935605" w:rsidRPr="00935605" w:rsidRDefault="00935605" w:rsidP="00935605">
      <w:pPr>
        <w:autoSpaceDE w:val="0"/>
        <w:autoSpaceDN w:val="0"/>
        <w:adjustRightInd w:val="0"/>
        <w:rPr>
          <w:rFonts w:ascii="Calibri" w:hAnsi="Calibri" w:cs="Calibri"/>
        </w:rPr>
      </w:pPr>
    </w:p>
    <w:p w:rsidR="00935605" w:rsidRPr="00935605" w:rsidRDefault="00935605" w:rsidP="00935605">
      <w:pPr>
        <w:autoSpaceDE w:val="0"/>
        <w:autoSpaceDN w:val="0"/>
        <w:adjustRightInd w:val="0"/>
        <w:rPr>
          <w:rFonts w:ascii="Calibri" w:hAnsi="Calibri" w:cs="Calibri"/>
        </w:rPr>
      </w:pPr>
    </w:p>
    <w:p w:rsidR="00935605" w:rsidRPr="00935605" w:rsidRDefault="00935605" w:rsidP="00935605">
      <w:pPr>
        <w:autoSpaceDE w:val="0"/>
        <w:autoSpaceDN w:val="0"/>
        <w:adjustRightInd w:val="0"/>
        <w:rPr>
          <w:rFonts w:ascii="Calibri" w:hAnsi="Calibri" w:cs="Calibri"/>
        </w:rPr>
      </w:pPr>
    </w:p>
    <w:p w:rsidR="00935605" w:rsidRPr="00935605" w:rsidRDefault="00935605" w:rsidP="009356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73EB" w:rsidRDefault="005E73EB"/>
    <w:sectPr w:rsidR="005E73EB" w:rsidSect="00935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EB9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605"/>
    <w:rsid w:val="005E73EB"/>
    <w:rsid w:val="0093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Par32" TargetMode="External"/><Relationship Id="rId5" Type="http://schemas.openxmlformats.org/officeDocument/2006/relationships/hyperlink" Target="#Par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3175</Words>
  <Characters>18103</Characters>
  <Application>Microsoft Office Word</Application>
  <DocSecurity>0</DocSecurity>
  <Lines>150</Lines>
  <Paragraphs>42</Paragraphs>
  <ScaleCrop>false</ScaleCrop>
  <Company>Microsoft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ДТО</dc:creator>
  <cp:keywords/>
  <dc:description/>
  <cp:lastModifiedBy>ДТО</cp:lastModifiedBy>
  <cp:revision>2</cp:revision>
  <dcterms:created xsi:type="dcterms:W3CDTF">2016-11-09T11:15:00Z</dcterms:created>
  <dcterms:modified xsi:type="dcterms:W3CDTF">2016-11-09T11:15:00Z</dcterms:modified>
</cp:coreProperties>
</file>