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«Об исполнении бюджета Знаменского сельского поселения Знаменского района Орловской области за 2017 год»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Знаменского сельск</w:t>
      </w:r>
      <w:r w:rsidRPr="002243D2">
        <w:rPr>
          <w:rFonts w:ascii="Times New Roman" w:hAnsi="Times New Roman" w:cs="Times New Roman"/>
          <w:sz w:val="28"/>
          <w:szCs w:val="28"/>
        </w:rPr>
        <w:t>ого Совета народных депутатов  «Об исполнении бюджета 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D2">
        <w:rPr>
          <w:rFonts w:ascii="Times New Roman" w:hAnsi="Times New Roman" w:cs="Times New Roman"/>
          <w:sz w:val="28"/>
          <w:szCs w:val="28"/>
        </w:rPr>
        <w:t>овской области за 2017 год» назначены постановлением главы Знаменского сельского поселения Титовой В.В. от 10 апреля 2018 года № 2.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«Об исполнении бюджета Знаменского сельского поселения Знаменского района Орловской области за 2017 год».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Дата проведения: 25 апреля 2018 года.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 w:rsidRPr="002243D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выступающих – 1.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«Об исполнении бюджета Знаменского сельского поселения Знаменского района Орловской области за 2017 год» и рекомендовать  внести его на очередное заседание Знаменского сельского Совета народных депутатов.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слушаниях, председатель Знаменского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  <w:t xml:space="preserve"> В.В. Титова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</w:t>
      </w:r>
    </w:p>
    <w:p w:rsidR="00A23D66" w:rsidRPr="002243D2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Публичные слушания по пр</w:t>
      </w:r>
      <w:r>
        <w:rPr>
          <w:rFonts w:ascii="Times New Roman" w:hAnsi="Times New Roman" w:cs="Times New Roman"/>
          <w:sz w:val="28"/>
          <w:szCs w:val="28"/>
        </w:rPr>
        <w:t>оекту решения Знаменского сельск</w:t>
      </w:r>
      <w:r w:rsidRPr="002243D2">
        <w:rPr>
          <w:rFonts w:ascii="Times New Roman" w:hAnsi="Times New Roman" w:cs="Times New Roman"/>
          <w:sz w:val="28"/>
          <w:szCs w:val="28"/>
        </w:rPr>
        <w:t>ого Совета народных депутатов 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 назначены постановлением главы Знаменского сельского поселения Титовой В.В. от 10 апреля 2018 года № 1.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Дата проведения: 25 апреля 2018 года.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 w:rsidRPr="002243D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Время проведения: 14.00 часов.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выступающих – 1.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 и рекомендовать  внести его на очередное заседание Знаменского сельского Совета народных депутатов.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слушаниях, председатель Знаменского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  <w:t xml:space="preserve"> В.В. Титова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2243D2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77D" w:rsidRDefault="0097277D"/>
    <w:p w:rsidR="00A23D66" w:rsidRDefault="00A23D66"/>
    <w:p w:rsidR="00A23D66" w:rsidRDefault="00A23D66"/>
    <w:p w:rsidR="00A23D66" w:rsidRDefault="00A23D66" w:rsidP="00A23D66">
      <w:pPr>
        <w:jc w:val="both"/>
        <w:rPr>
          <w:sz w:val="28"/>
          <w:szCs w:val="28"/>
        </w:rPr>
      </w:pPr>
    </w:p>
    <w:p w:rsidR="00A23D66" w:rsidRPr="00A23D66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ПРОТОКОЛ №1</w:t>
      </w:r>
    </w:p>
    <w:p w:rsidR="00A23D66" w:rsidRPr="00A23D66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>Дата проведения: 25 апреля 2018 года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здание Знаменского сельского поселения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1. Обсуждение проекта решения Знаменского сельского Совета народных депутатов 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 от 10.04.2018 года №1 «О проведении публичных слушаний по проекту решения 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Постановление о назначении настоящих публичных слушаний обнародовано 13.04.2018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По вопросу повестки дня «Обсуждение проекта решения Знаменского сельского Совета народных депутатов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 слушали главу Знаменского сельского поселения Знаменского района Орловской области Титову В.В., которая ознакомила присутствующих с проектом решения  Знаменского сельского Совета народных депутатов 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годы»:</w:t>
      </w:r>
    </w:p>
    <w:p w:rsidR="00A23D66" w:rsidRPr="00233AF0" w:rsidRDefault="00A23D66" w:rsidP="00A2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3D66" w:rsidRPr="00233AF0" w:rsidRDefault="00A23D66" w:rsidP="00A2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AF0">
        <w:rPr>
          <w:rFonts w:ascii="Times New Roman" w:eastAsia="Times New Roman" w:hAnsi="Times New Roman" w:cs="Times New Roman"/>
          <w:b/>
          <w:sz w:val="28"/>
          <w:szCs w:val="28"/>
        </w:rPr>
        <w:t>1. Паспорт программы</w:t>
      </w:r>
    </w:p>
    <w:p w:rsidR="00A23D66" w:rsidRPr="00233AF0" w:rsidRDefault="00A23D66" w:rsidP="00A23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40"/>
        <w:gridCol w:w="7801"/>
      </w:tblGrid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 сельского поселения Знаменского района Орловской области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(далее  – Программа)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1.10.2015 г. 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план Знамен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Знамен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района Орловской области,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от 28 сентября 2011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17-05-СС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Генерального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разработчик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Знаменское сельское поселение Знаменского района Орловской области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Знаменское  сельское поселение  Знаменского района Орловской области;</w:t>
            </w:r>
          </w:p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Знаменского района Орловской области;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</w:t>
            </w:r>
            <w:r w:rsidRPr="00D9644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Знаменского района Орловской области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CD1150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9"/>
              </w:rPr>
            </w:pPr>
            <w:r w:rsidRPr="00CD11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9"/>
              </w:rPr>
              <w:t>1.Улучшение условий для получения образования.</w:t>
            </w:r>
          </w:p>
          <w:p w:rsidR="00A23D66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9"/>
              </w:rPr>
              <w:t xml:space="preserve">2.Повышение уровня медицинского обслуживания.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9"/>
              </w:rPr>
              <w:t>3.О</w:t>
            </w:r>
            <w:r w:rsidRPr="00B055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инфраструктуры поселения.</w:t>
            </w:r>
          </w:p>
          <w:p w:rsidR="00A23D66" w:rsidRPr="00F2311C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</w:t>
            </w:r>
            <w:r w:rsidRPr="00B0552C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эффективности функционирования действующей социальной инфраструктуры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85701F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(индикаторы) обеспеченности </w:t>
            </w:r>
            <w:r w:rsidRPr="008570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объектами социальной инфраструктуры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F4602F" w:rsidRDefault="00A23D66" w:rsidP="00942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объектов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 сель</w:t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с увеличением мощностей:</w:t>
            </w:r>
          </w:p>
          <w:p w:rsidR="00A23D66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23D66" w:rsidRPr="00F4602F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 дошкольные учреждения – до 128 мест</w:t>
            </w:r>
          </w:p>
          <w:p w:rsidR="00A23D66" w:rsidRPr="00F4602F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3D66" w:rsidRPr="00F4602F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здравоохранения: </w:t>
            </w:r>
          </w:p>
          <w:p w:rsidR="00A23D66" w:rsidRPr="00F4602F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здравоохранения  – до 88 посещений в смену;</w:t>
            </w:r>
          </w:p>
          <w:p w:rsidR="00A23D66" w:rsidRPr="00F4602F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культуры:</w:t>
            </w:r>
          </w:p>
          <w:p w:rsidR="00A23D66" w:rsidRPr="00F76C4B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культуры клубного типа – до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408 </w:t>
            </w:r>
            <w:r w:rsidRPr="00F4602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мест;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Укрупненное описание запланированных мероприятий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нового ФАПа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Локно, капитальный ремонт ФАПа в д. Ворошилово;</w:t>
            </w:r>
          </w:p>
          <w:p w:rsidR="00A23D66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45A3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994902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Ворошиловского сельского Дома культуры и к</w:t>
            </w: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</w:t>
            </w:r>
            <w:r w:rsidRPr="00AC45A3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Локонского сельского Дома</w:t>
            </w: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3D66" w:rsidRPr="00D47C57" w:rsidRDefault="00A23D66" w:rsidP="009420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57">
              <w:rPr>
                <w:rFonts w:ascii="Times New Roman" w:eastAsia="Times New Roman" w:hAnsi="Times New Roman" w:cs="Times New Roman"/>
                <w:sz w:val="28"/>
                <w:szCs w:val="28"/>
              </w:rPr>
              <w:t>3. Ремонт фасада здания МКДОУ детский сад «Теремок».</w:t>
            </w: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этапы </w:t>
            </w: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6" w:rsidRPr="00233AF0" w:rsidRDefault="00A23D66" w:rsidP="009420C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 охватывают период 2018-2032 годы</w:t>
            </w:r>
          </w:p>
          <w:p w:rsidR="00A23D66" w:rsidRPr="00233AF0" w:rsidRDefault="00A23D66" w:rsidP="00942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3D66" w:rsidRPr="00233AF0" w:rsidTr="009420C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F76C4B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4F0A2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</w:t>
            </w:r>
          </w:p>
          <w:p w:rsidR="00A23D66" w:rsidRPr="004F0A2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всех уровней в сумме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8585</w:t>
            </w: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в т. ч.: </w:t>
            </w:r>
          </w:p>
          <w:p w:rsidR="00A23D66" w:rsidRPr="004F0A2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3D66" w:rsidRPr="004F0A2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585</w:t>
            </w:r>
            <w:r w:rsidRPr="004F0A2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A23D66" w:rsidRPr="00761E01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Орловской области- 1500 тыс.руб.</w:t>
            </w:r>
          </w:p>
        </w:tc>
      </w:tr>
      <w:tr w:rsidR="00A23D66" w:rsidRPr="00233AF0" w:rsidTr="009420CA">
        <w:trPr>
          <w:trHeight w:val="14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F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C45A3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и качества оказания медицинских услуг.</w:t>
            </w:r>
          </w:p>
          <w:p w:rsidR="00A23D66" w:rsidRPr="00AC45A3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2. Улучшения условий для оказания культурного обслуживания и совершенствование организации свободного времени жителей поселения. В том числе детей и подростков.</w:t>
            </w:r>
          </w:p>
          <w:p w:rsidR="00A23D66" w:rsidRPr="00AC45A3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5A3">
              <w:rPr>
                <w:rFonts w:ascii="Times New Roman" w:eastAsia="Times New Roman" w:hAnsi="Times New Roman" w:cs="Times New Roman"/>
                <w:sz w:val="28"/>
                <w:szCs w:val="28"/>
              </w:rPr>
              <w:t>3.Сохранение и улучшение условий для получения образования  учащимися.</w:t>
            </w:r>
          </w:p>
          <w:p w:rsidR="00A23D66" w:rsidRPr="00761E01" w:rsidRDefault="00A23D66" w:rsidP="0094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3D66" w:rsidRDefault="00A23D66" w:rsidP="00A23D66">
      <w:pPr>
        <w:ind w:firstLine="709"/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Default="00A23D66" w:rsidP="00A23D66">
      <w:pPr>
        <w:jc w:val="both"/>
        <w:rPr>
          <w:sz w:val="28"/>
          <w:szCs w:val="28"/>
        </w:rPr>
      </w:pPr>
    </w:p>
    <w:p w:rsidR="00A23D66" w:rsidRPr="00233AF0" w:rsidRDefault="00A23D66" w:rsidP="00A23D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AF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и источники финансирования программы</w:t>
      </w:r>
    </w:p>
    <w:p w:rsidR="00A23D66" w:rsidRPr="00233AF0" w:rsidRDefault="00A23D66" w:rsidP="00A2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22"/>
        <w:gridCol w:w="1134"/>
        <w:gridCol w:w="39"/>
        <w:gridCol w:w="695"/>
        <w:gridCol w:w="116"/>
        <w:gridCol w:w="11"/>
        <w:gridCol w:w="927"/>
        <w:gridCol w:w="65"/>
        <w:gridCol w:w="1134"/>
        <w:gridCol w:w="1134"/>
        <w:gridCol w:w="1134"/>
        <w:gridCol w:w="1134"/>
        <w:gridCol w:w="709"/>
        <w:gridCol w:w="1124"/>
        <w:gridCol w:w="1133"/>
        <w:gridCol w:w="1124"/>
        <w:gridCol w:w="27"/>
        <w:gridCol w:w="1245"/>
        <w:gridCol w:w="13"/>
        <w:gridCol w:w="14"/>
      </w:tblGrid>
      <w:tr w:rsidR="00A23D66" w:rsidRPr="00233AF0" w:rsidTr="009420CA">
        <w:trPr>
          <w:gridAfter w:val="2"/>
          <w:wAfter w:w="27" w:type="dxa"/>
          <w:trHeight w:val="387"/>
        </w:trPr>
        <w:tc>
          <w:tcPr>
            <w:tcW w:w="538" w:type="dxa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1613" w:type="dxa"/>
            <w:gridSpan w:val="15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A23D66" w:rsidRPr="00233AF0" w:rsidTr="009420CA">
        <w:trPr>
          <w:gridAfter w:val="2"/>
          <w:wAfter w:w="27" w:type="dxa"/>
          <w:trHeight w:val="362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1"/>
          <w:wAfter w:w="14" w:type="dxa"/>
          <w:trHeight w:val="312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7-2032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1"/>
          <w:wAfter w:w="14" w:type="dxa"/>
          <w:trHeight w:val="342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3D66" w:rsidRPr="00233AF0" w:rsidTr="009420CA">
        <w:trPr>
          <w:gridAfter w:val="2"/>
          <w:wAfter w:w="27" w:type="dxa"/>
          <w:trHeight w:val="410"/>
        </w:trPr>
        <w:tc>
          <w:tcPr>
            <w:tcW w:w="15545" w:type="dxa"/>
            <w:gridSpan w:val="19"/>
            <w:shd w:val="clear" w:color="auto" w:fill="auto"/>
          </w:tcPr>
          <w:p w:rsidR="00A23D66" w:rsidRPr="00233AF0" w:rsidRDefault="00A23D66" w:rsidP="009420CA">
            <w:pPr>
              <w:widowControl w:val="0"/>
              <w:suppressAutoHyphens/>
              <w:spacing w:after="0" w:line="240" w:lineRule="auto"/>
              <w:ind w:left="108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Цель:  </w:t>
            </w:r>
            <w:r w:rsidRPr="00233AF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Комплексное развитие социальной инфраструктуры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Знаменского сельского поселения</w:t>
            </w:r>
          </w:p>
        </w:tc>
      </w:tr>
      <w:tr w:rsidR="00A23D66" w:rsidRPr="00233AF0" w:rsidTr="009420CA">
        <w:trPr>
          <w:trHeight w:val="351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trHeight w:val="288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trHeight w:val="691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994902" w:rsidRDefault="00A23D66" w:rsidP="00942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23D66" w:rsidRDefault="00A23D66" w:rsidP="00942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15545" w:type="dxa"/>
            <w:gridSpan w:val="19"/>
            <w:shd w:val="clear" w:color="auto" w:fill="auto"/>
          </w:tcPr>
          <w:p w:rsidR="00A23D66" w:rsidRPr="00233AF0" w:rsidRDefault="00A23D66" w:rsidP="009420C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Образование</w:t>
            </w: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п. 1.1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  <w:trHeight w:val="378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  <w:trHeight w:val="495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15545" w:type="dxa"/>
            <w:gridSpan w:val="19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1.2.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п.1.2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 w:val="restart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66" w:rsidRPr="00233AF0" w:rsidTr="009420CA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3D66" w:rsidRPr="00233AF0" w:rsidRDefault="00A23D66" w:rsidP="0094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23D66" w:rsidRDefault="00A23D66" w:rsidP="00A23D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19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Знаменского сельского поселения Знамен</w:t>
      </w:r>
      <w:r w:rsidRPr="0048519D">
        <w:rPr>
          <w:rFonts w:ascii="Times New Roman" w:eastAsia="Times New Roman" w:hAnsi="Times New Roman" w:cs="Times New Roman"/>
          <w:b/>
          <w:sz w:val="28"/>
          <w:szCs w:val="28"/>
        </w:rPr>
        <w:t>ского района Орловской области</w:t>
      </w:r>
    </w:p>
    <w:p w:rsidR="00A23D66" w:rsidRPr="0048519D" w:rsidRDefault="00A23D66" w:rsidP="00A23D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сельскохозяйственной продукции, развития услуг населению, развития личных подсобных хозяйств.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ресурсный потенциал территории (природно-ресурсный, экономико-географический, демографический) не получает должного развития.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присутствует тенденция старения и выбывания квалифицированных кадров, имеющие место быть ранее демографические проблемы,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Старение объектов образования, культуры и их материальной базы, слабое обновление из-за отсутствия финансирования.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обобщенном виде главной целью программы «Комплексное развитие социальной инфраструктуры Знаменского сельского поселения Знаменского района на 2018-2032 годы»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и расширить сферу информационно-консультационного и правового обслуживания населения;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состояние здоровья населения за счет повышения доступности и качества занятиями физической культурой и спортом;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отремонтировать объекты культуры и активизировать культурную деятельность.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</w:t>
      </w:r>
    </w:p>
    <w:p w:rsidR="00A23D66" w:rsidRDefault="00A23D66" w:rsidP="00A23D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A23D66" w:rsidRDefault="00A23D66" w:rsidP="00A23D66">
      <w:pPr>
        <w:spacing w:after="0" w:line="240" w:lineRule="auto"/>
        <w:ind w:left="-142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F0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по целевым показателям и индикаторам, приведенным в разделе 4 Программы.</w:t>
      </w:r>
    </w:p>
    <w:p w:rsidR="00A23D66" w:rsidRDefault="00A23D66" w:rsidP="00A23D66">
      <w:pPr>
        <w:spacing w:after="0" w:line="240" w:lineRule="auto"/>
        <w:ind w:left="-142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D66" w:rsidRPr="00233AF0" w:rsidRDefault="00A23D66" w:rsidP="00A23D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33A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</w:t>
      </w:r>
    </w:p>
    <w:p w:rsidR="00A23D66" w:rsidRPr="00233AF0" w:rsidRDefault="00A23D66" w:rsidP="00A23D66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3D66" w:rsidRPr="00A94A7B" w:rsidRDefault="00A23D66" w:rsidP="00A23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Pr="00D9644E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предусматривает следующие мероприятия:</w:t>
      </w:r>
    </w:p>
    <w:p w:rsidR="00A23D66" w:rsidRPr="00A94A7B" w:rsidRDefault="00A23D66" w:rsidP="00A23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изменений в Генеральный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Pr="00D9644E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при выявлении новых, необходимых к реализации мероприятий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новых 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особо значимых для территории, 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23D66" w:rsidRPr="00A94A7B" w:rsidRDefault="00A23D66" w:rsidP="00A23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информационного обеспечения реализации Программы необходимо размещение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Знаменского района.</w:t>
      </w:r>
    </w:p>
    <w:p w:rsidR="00A23D66" w:rsidRPr="00A94A7B" w:rsidRDefault="00A23D66" w:rsidP="00A23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обеспечивает:</w:t>
      </w:r>
    </w:p>
    <w:p w:rsidR="00A23D66" w:rsidRPr="00A94A7B" w:rsidRDefault="00A23D66" w:rsidP="00A23D6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безопасность, качество и эффективность использования населением объектов социальной инфраструктуры поселения;</w:t>
      </w:r>
    </w:p>
    <w:p w:rsidR="00A23D66" w:rsidRPr="00A94A7B" w:rsidRDefault="00A23D66" w:rsidP="00A23D66">
      <w:p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A23D66" w:rsidRPr="00A94A7B" w:rsidRDefault="00A23D66" w:rsidP="00A23D66">
      <w:p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A23D66" w:rsidRPr="00A94A7B" w:rsidRDefault="00A23D66" w:rsidP="00A23D6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достижение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3D66" w:rsidRPr="00DA4A10" w:rsidRDefault="00A23D66" w:rsidP="00A23D66">
      <w:pPr>
        <w:tabs>
          <w:tab w:val="left" w:pos="399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A94A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эффективность функционирования действующей социальной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Выступил: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Калинин Ю.В. – секретарь комиссии, депутат Знаменского сельского Совета народных депутатов Знаменского района Орловской области, который доложил собравшимся о том, что в комиссию по учету предложений по проекту решения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 предложений по внесению изменений и дополнений не поступало.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по вопросу 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 от участников публичных слушаний не поступало.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Решили: Согласиться с предложением одобрить проект решения Знаменского сельского Совета народных депутатов «Об утверждении программы комплексного развития социальной инфраструктуры Знаменского сельского поселения Знаменского района Орловской области на 2018-2032 годы»</w:t>
      </w:r>
      <w:r w:rsidR="00FB6A8C" w:rsidRPr="00FB6A8C">
        <w:rPr>
          <w:rFonts w:ascii="Times New Roman" w:hAnsi="Times New Roman" w:cs="Times New Roman"/>
          <w:sz w:val="28"/>
          <w:szCs w:val="28"/>
        </w:rPr>
        <w:t xml:space="preserve"> </w:t>
      </w:r>
      <w:r w:rsidR="00FB6A8C">
        <w:rPr>
          <w:rFonts w:ascii="Times New Roman" w:hAnsi="Times New Roman" w:cs="Times New Roman"/>
          <w:sz w:val="28"/>
          <w:szCs w:val="28"/>
        </w:rPr>
        <w:t>и внести его на очередное заседание Знаменского сельского Совета народных депутатов.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Глава Знаменского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3D66">
        <w:rPr>
          <w:rFonts w:ascii="Times New Roman" w:hAnsi="Times New Roman" w:cs="Times New Roman"/>
          <w:sz w:val="28"/>
          <w:szCs w:val="28"/>
        </w:rPr>
        <w:t>В.В. Титова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23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3D66">
        <w:rPr>
          <w:rFonts w:ascii="Times New Roman" w:hAnsi="Times New Roman" w:cs="Times New Roman"/>
          <w:sz w:val="28"/>
          <w:szCs w:val="28"/>
        </w:rPr>
        <w:t>Ю.В. Калинин</w:t>
      </w:r>
    </w:p>
    <w:p w:rsidR="00A23D66" w:rsidRPr="00A23D66" w:rsidRDefault="00E95D5B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</w:p>
    <w:p w:rsidR="00A23D66" w:rsidRPr="00A23D66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A23D66" w:rsidRPr="00A23D66" w:rsidRDefault="00A23D66" w:rsidP="00A23D66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>Дата проведения: 25 апреля 2018 года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</w:t>
      </w:r>
      <w:r w:rsidRPr="00A23D66">
        <w:rPr>
          <w:rFonts w:ascii="Times New Roman" w:hAnsi="Times New Roman" w:cs="Times New Roman"/>
          <w:sz w:val="28"/>
          <w:szCs w:val="28"/>
        </w:rPr>
        <w:t>.00 часов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D66">
        <w:rPr>
          <w:rFonts w:ascii="Times New Roman" w:hAnsi="Times New Roman" w:cs="Times New Roman"/>
          <w:sz w:val="28"/>
          <w:szCs w:val="28"/>
        </w:rPr>
        <w:t>здание Знаменского сельского поселения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A23D66" w:rsidRPr="00A23D66" w:rsidRDefault="00A23D66" w:rsidP="00A23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1. Обсуждение проекта решения Знаменского сельского Совета народных депутатов  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>»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от 10.04.2018 года №2</w:t>
      </w:r>
      <w:r w:rsidRPr="00A23D6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 «Об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>»,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Постановление о назначении настоящих публичных слушаний обнародовано 13.04.2018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По вопросу повестки дня «Об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>» слушали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бухгалтерского учета и отчетности администрации Знаменского района Артамонову Л.Н.</w:t>
      </w:r>
      <w:r w:rsidRPr="00A23D66">
        <w:rPr>
          <w:rFonts w:ascii="Times New Roman" w:hAnsi="Times New Roman" w:cs="Times New Roman"/>
          <w:sz w:val="28"/>
          <w:szCs w:val="28"/>
        </w:rPr>
        <w:t xml:space="preserve">, которая ознакомила присутствующих с проектом решения  Знаменского сельского Совета </w:t>
      </w:r>
      <w:r w:rsidRPr="00A23D66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 «Об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>»:</w:t>
      </w:r>
    </w:p>
    <w:p w:rsidR="00A23D66" w:rsidRPr="00233AF0" w:rsidRDefault="00A23D66" w:rsidP="00A2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Доходы бюджета Знаменского сельского поселения за 2017г. по кодам классификации доходов бюджета 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2869"/>
        <w:gridCol w:w="1080"/>
        <w:gridCol w:w="1080"/>
        <w:gridCol w:w="1620"/>
        <w:gridCol w:w="1080"/>
      </w:tblGrid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План  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Исполнение плана 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(-,+)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2983,7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3787,5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803,8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335,9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00010102000000000110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Налог на доходы  физических 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335,9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+1,6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0010503000000000110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Единый  сельскохозяйственный 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+1,6</w:t>
            </w:r>
          </w:p>
        </w:tc>
      </w:tr>
      <w:tr w:rsidR="00A23D66" w:rsidRPr="00A23D66" w:rsidTr="009420CA">
        <w:trPr>
          <w:trHeight w:val="37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1717,7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+387,6</w:t>
            </w:r>
          </w:p>
        </w:tc>
      </w:tr>
      <w:tr w:rsidR="00A23D66" w:rsidRPr="00A23D66" w:rsidTr="009420CA">
        <w:trPr>
          <w:trHeight w:val="37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00010601000000000110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Налог на имущество 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+28,4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0010606000000000110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1614,2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+359,2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 и муниципальной </w:t>
            </w: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1479,8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+229,8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00211105025100000120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Доходы , получаемые в виде арендной  платы  за земли, находящиеся  в собственности сельских 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1396,9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+146,9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00211105035100000120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+82,9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00211302995100000130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бюджета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+187,1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00211410000000000430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 находящиеся  в собственности сельских 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св.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+ 187,1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1165,2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00220100000000000251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</w:t>
            </w: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1039,4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D66" w:rsidRPr="00A23D66" w:rsidTr="009420CA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00220202354100000151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D66" w:rsidRPr="00A23D66" w:rsidTr="009420CA">
        <w:trPr>
          <w:trHeight w:val="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4148,9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4952,7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+803,8</w:t>
            </w:r>
          </w:p>
        </w:tc>
      </w:tr>
    </w:tbl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Знаменского сельского поселения за 2017 год по разделам и  подразделам  функциональной классификации  расходов 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825"/>
        <w:gridCol w:w="1684"/>
        <w:gridCol w:w="1671"/>
        <w:gridCol w:w="706"/>
        <w:gridCol w:w="1593"/>
      </w:tblGrid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Исполнение плана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1065,4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839,4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-226,0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587,4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570,4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-17,0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органов государственной власти и представительных органов муниципальных 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326,7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-171,9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РФ,   высших исполнительных   органов </w:t>
            </w: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 субъекта РФ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-36,8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1221,4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-221,3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1221,4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-221,3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1788,6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1720,1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-68,6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1788,6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1720,1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-68,6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-120,1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-120,1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-11,9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-11,9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4404,1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3756,3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sz w:val="28"/>
                <w:szCs w:val="28"/>
              </w:rPr>
              <w:t>647,8</w:t>
            </w:r>
          </w:p>
        </w:tc>
      </w:tr>
      <w:tr w:rsidR="00A23D66" w:rsidRPr="00A23D66" w:rsidTr="009420C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bCs/>
          <w:color w:val="333333"/>
          <w:sz w:val="28"/>
          <w:szCs w:val="28"/>
        </w:rPr>
        <w:t>Источники внутреннего финансирования дефицита</w:t>
      </w:r>
      <w:r w:rsidRPr="00A23D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3D6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бюджета Знаменского сельского поселения </w:t>
      </w:r>
      <w:r w:rsidRPr="00A23D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3D66">
        <w:rPr>
          <w:rFonts w:ascii="Times New Roman" w:hAnsi="Times New Roman" w:cs="Times New Roman"/>
          <w:bCs/>
          <w:color w:val="333333"/>
          <w:sz w:val="28"/>
          <w:szCs w:val="28"/>
        </w:rPr>
        <w:t>за 2017 год </w:t>
      </w:r>
    </w:p>
    <w:tbl>
      <w:tblPr>
        <w:tblpPr w:leftFromText="45" w:rightFromText="45" w:vertAnchor="text" w:tblpX="-694"/>
        <w:tblW w:w="88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27"/>
        <w:gridCol w:w="3534"/>
        <w:gridCol w:w="1861"/>
      </w:tblGrid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Код классификации 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источников финансирования дефицита бюджетов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Наименование кода классификации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 источников финансирования дефицита бюджетов 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Сумма (тыс.руб.)</w:t>
            </w: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Исполнено </w:t>
            </w:r>
          </w:p>
        </w:tc>
      </w:tr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000 01 00 00 00 00 0000 000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-1196,3</w:t>
            </w:r>
          </w:p>
        </w:tc>
      </w:tr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000 01 05 00 00 00 0000 000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-1196,3</w:t>
            </w:r>
          </w:p>
        </w:tc>
      </w:tr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000 01 05 00 00 00 0000 500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- 4952,6</w:t>
            </w:r>
          </w:p>
        </w:tc>
      </w:tr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000 01 05 00 00 00 0000 600</w:t>
            </w: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3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3756,4</w:t>
            </w:r>
          </w:p>
        </w:tc>
      </w:tr>
      <w:tr w:rsidR="00A23D66" w:rsidRPr="00A23D66" w:rsidTr="009420CA">
        <w:trPr>
          <w:tblHeader/>
          <w:tblCellSpacing w:w="0" w:type="dxa"/>
        </w:trPr>
        <w:tc>
          <w:tcPr>
            <w:tcW w:w="3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23D66" w:rsidRPr="00A23D66" w:rsidRDefault="00A23D66" w:rsidP="00A23D6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23D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Default="00A23D66"/>
    <w:p w:rsidR="00A23D66" w:rsidRPr="00A23D66" w:rsidRDefault="00A23D66" w:rsidP="00A23D66"/>
    <w:p w:rsidR="00A23D66" w:rsidRPr="00A23D66" w:rsidRDefault="00A23D66" w:rsidP="00A23D66"/>
    <w:p w:rsidR="00A23D66" w:rsidRDefault="00A23D66" w:rsidP="00A23D66"/>
    <w:p w:rsidR="00A23D66" w:rsidRDefault="00A23D66" w:rsidP="00A23D66">
      <w:pPr>
        <w:tabs>
          <w:tab w:val="left" w:pos="7995"/>
        </w:tabs>
      </w:pPr>
      <w:r>
        <w:tab/>
      </w:r>
    </w:p>
    <w:p w:rsidR="00A23D66" w:rsidRDefault="00A23D66" w:rsidP="00A23D66">
      <w:pPr>
        <w:tabs>
          <w:tab w:val="left" w:pos="7995"/>
        </w:tabs>
      </w:pPr>
    </w:p>
    <w:p w:rsidR="00A23D66" w:rsidRDefault="00A23D66" w:rsidP="00A23D66">
      <w:pPr>
        <w:tabs>
          <w:tab w:val="left" w:pos="7995"/>
        </w:tabs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lastRenderedPageBreak/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D66">
        <w:rPr>
          <w:rFonts w:ascii="Times New Roman" w:hAnsi="Times New Roman" w:cs="Times New Roman"/>
          <w:sz w:val="28"/>
          <w:szCs w:val="28"/>
        </w:rPr>
        <w:t>: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Л.И.</w:t>
      </w:r>
      <w:r w:rsidRPr="00A23D66">
        <w:rPr>
          <w:rFonts w:ascii="Times New Roman" w:hAnsi="Times New Roman" w:cs="Times New Roman"/>
          <w:sz w:val="28"/>
          <w:szCs w:val="28"/>
        </w:rPr>
        <w:t xml:space="preserve"> – секретарь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которая</w:t>
      </w:r>
      <w:r w:rsidRPr="00A23D66">
        <w:rPr>
          <w:rFonts w:ascii="Times New Roman" w:hAnsi="Times New Roman" w:cs="Times New Roman"/>
          <w:sz w:val="28"/>
          <w:szCs w:val="28"/>
        </w:rPr>
        <w:t xml:space="preserve"> доложил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D66">
        <w:rPr>
          <w:rFonts w:ascii="Times New Roman" w:hAnsi="Times New Roman" w:cs="Times New Roman"/>
          <w:sz w:val="28"/>
          <w:szCs w:val="28"/>
        </w:rPr>
        <w:t xml:space="preserve"> собравшимся о том, что в комиссию по учету предложений по проекту решения «Об 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>» предложений по внесению изменений и дополнений не поступало.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 «Об 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Решили: Согласиться с предложением одобрить проект решения Знаменского сельского Совета народных депутатов «Об 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3D6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</w:t>
      </w:r>
      <w:r>
        <w:rPr>
          <w:rFonts w:ascii="Times New Roman" w:hAnsi="Times New Roman" w:cs="Times New Roman"/>
          <w:sz w:val="28"/>
          <w:szCs w:val="28"/>
        </w:rPr>
        <w:t>овской области на 2017 год</w:t>
      </w:r>
      <w:r w:rsidRPr="00A23D66">
        <w:rPr>
          <w:rFonts w:ascii="Times New Roman" w:hAnsi="Times New Roman" w:cs="Times New Roman"/>
          <w:sz w:val="28"/>
          <w:szCs w:val="28"/>
        </w:rPr>
        <w:t xml:space="preserve">» </w:t>
      </w:r>
      <w:r w:rsidR="00FB6A8C">
        <w:rPr>
          <w:rFonts w:ascii="Times New Roman" w:hAnsi="Times New Roman" w:cs="Times New Roman"/>
          <w:sz w:val="28"/>
          <w:szCs w:val="28"/>
        </w:rPr>
        <w:t>и внести его на очередное заседание Знаменского сельского Совета народных депутатов.</w:t>
      </w:r>
    </w:p>
    <w:p w:rsidR="00FB6A8C" w:rsidRPr="00A23D66" w:rsidRDefault="00FB6A8C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 xml:space="preserve">Глава Знаменского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3D66">
        <w:rPr>
          <w:rFonts w:ascii="Times New Roman" w:hAnsi="Times New Roman" w:cs="Times New Roman"/>
          <w:sz w:val="28"/>
          <w:szCs w:val="28"/>
        </w:rPr>
        <w:t>В.В. Титова</w:t>
      </w: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66" w:rsidRPr="00A23D66" w:rsidRDefault="00A23D66" w:rsidP="00A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6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23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6A8C">
        <w:rPr>
          <w:rFonts w:ascii="Times New Roman" w:hAnsi="Times New Roman" w:cs="Times New Roman"/>
          <w:sz w:val="28"/>
          <w:szCs w:val="28"/>
        </w:rPr>
        <w:t>Л.И. Никулина</w:t>
      </w:r>
    </w:p>
    <w:p w:rsidR="00A23D66" w:rsidRPr="00A23D66" w:rsidRDefault="00A23D66" w:rsidP="00A23D66">
      <w:pPr>
        <w:tabs>
          <w:tab w:val="left" w:pos="7995"/>
        </w:tabs>
      </w:pPr>
    </w:p>
    <w:sectPr w:rsidR="00A23D66" w:rsidRPr="00A23D66" w:rsidSect="00A23D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9B2"/>
    <w:multiLevelType w:val="multilevel"/>
    <w:tmpl w:val="B7B2C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23D66"/>
    <w:rsid w:val="0097277D"/>
    <w:rsid w:val="00A23D66"/>
    <w:rsid w:val="00E95D5B"/>
    <w:rsid w:val="00F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66"/>
    <w:pPr>
      <w:spacing w:after="0" w:line="240" w:lineRule="auto"/>
    </w:pPr>
  </w:style>
  <w:style w:type="paragraph" w:customStyle="1" w:styleId="Default">
    <w:name w:val="Default"/>
    <w:rsid w:val="00A23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2018-05-03T10:57:00Z</dcterms:created>
  <dcterms:modified xsi:type="dcterms:W3CDTF">2018-05-03T11:17:00Z</dcterms:modified>
</cp:coreProperties>
</file>